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F62D" w14:textId="77777777" w:rsidR="003F7A55" w:rsidRDefault="003D41BD" w:rsidP="003D41BD">
      <w:pPr>
        <w:jc w:val="center"/>
        <w:rPr>
          <w:lang w:val="fr-FR"/>
        </w:rPr>
      </w:pPr>
      <w:r>
        <w:rPr>
          <w:noProof/>
          <w:lang w:val="fr-FR"/>
        </w:rPr>
        <w:drawing>
          <wp:inline distT="0" distB="0" distL="0" distR="0" wp14:anchorId="3BC4A330" wp14:editId="01B53984">
            <wp:extent cx="1857375" cy="137507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950" b="19674"/>
                    <a:stretch/>
                  </pic:blipFill>
                  <pic:spPr bwMode="auto">
                    <a:xfrm>
                      <a:off x="0" y="0"/>
                      <a:ext cx="1863247" cy="1379420"/>
                    </a:xfrm>
                    <a:prstGeom prst="rect">
                      <a:avLst/>
                    </a:prstGeom>
                    <a:noFill/>
                    <a:ln>
                      <a:noFill/>
                    </a:ln>
                    <a:extLst>
                      <a:ext uri="{53640926-AAD7-44D8-BBD7-CCE9431645EC}">
                        <a14:shadowObscured xmlns:a14="http://schemas.microsoft.com/office/drawing/2010/main"/>
                      </a:ext>
                    </a:extLst>
                  </pic:spPr>
                </pic:pic>
              </a:graphicData>
            </a:graphic>
          </wp:inline>
        </w:drawing>
      </w:r>
    </w:p>
    <w:p w14:paraId="7833F8F5" w14:textId="77777777" w:rsidR="003D41BD" w:rsidRDefault="003D41BD" w:rsidP="003D41BD">
      <w:pPr>
        <w:jc w:val="center"/>
        <w:rPr>
          <w:lang w:val="fr-FR"/>
        </w:rPr>
      </w:pPr>
    </w:p>
    <w:p w14:paraId="7CE2BC52" w14:textId="77777777" w:rsidR="003D41BD" w:rsidRPr="003D41BD" w:rsidRDefault="003D41BD" w:rsidP="003D41BD">
      <w:pPr>
        <w:jc w:val="center"/>
        <w:rPr>
          <w:b/>
          <w:bCs/>
          <w:color w:val="33AE9A"/>
          <w:sz w:val="32"/>
          <w:szCs w:val="32"/>
          <w:lang w:val="fr-FR"/>
        </w:rPr>
      </w:pPr>
    </w:p>
    <w:p w14:paraId="215F9698" w14:textId="77777777" w:rsidR="003D41BD" w:rsidRPr="00023496" w:rsidRDefault="003D41BD" w:rsidP="003D41BD">
      <w:pPr>
        <w:jc w:val="center"/>
        <w:rPr>
          <w:b/>
          <w:bCs/>
          <w:color w:val="33AE9A"/>
          <w:sz w:val="36"/>
          <w:szCs w:val="36"/>
          <w:lang w:val="fr-FR"/>
        </w:rPr>
      </w:pPr>
      <w:r w:rsidRPr="00023496">
        <w:rPr>
          <w:b/>
          <w:bCs/>
          <w:color w:val="33AE9A"/>
          <w:sz w:val="36"/>
          <w:szCs w:val="36"/>
          <w:lang w:val="fr-FR"/>
        </w:rPr>
        <w:t>CONVENTION DE TRANSITION ECOLOGIQUE</w:t>
      </w:r>
    </w:p>
    <w:p w14:paraId="6B2101FC" w14:textId="77777777" w:rsidR="003D41BD" w:rsidRDefault="003D41BD" w:rsidP="003D41BD">
      <w:pPr>
        <w:rPr>
          <w:b/>
          <w:bCs/>
          <w:color w:val="33AE9A"/>
          <w:sz w:val="32"/>
          <w:szCs w:val="32"/>
          <w:lang w:val="fr-FR"/>
        </w:rPr>
      </w:pPr>
    </w:p>
    <w:p w14:paraId="6C56064C" w14:textId="77777777" w:rsidR="003D41BD" w:rsidRDefault="003D41BD" w:rsidP="003D41BD">
      <w:pPr>
        <w:rPr>
          <w:b/>
          <w:bCs/>
          <w:color w:val="33AE9A"/>
          <w:sz w:val="32"/>
          <w:szCs w:val="32"/>
          <w:lang w:val="fr-FR"/>
        </w:rPr>
      </w:pPr>
    </w:p>
    <w:p w14:paraId="3B3C8539" w14:textId="77777777" w:rsidR="003D41BD" w:rsidRDefault="003D41BD" w:rsidP="003D41BD">
      <w:pPr>
        <w:jc w:val="center"/>
        <w:rPr>
          <w:b/>
          <w:bCs/>
          <w:color w:val="33AE9A"/>
          <w:sz w:val="32"/>
          <w:szCs w:val="32"/>
          <w:lang w:val="fr-FR"/>
        </w:rPr>
      </w:pPr>
      <w:r>
        <w:rPr>
          <w:b/>
          <w:bCs/>
          <w:noProof/>
          <w:color w:val="33AE9A"/>
          <w:sz w:val="32"/>
          <w:szCs w:val="32"/>
          <w:lang w:val="fr-FR"/>
        </w:rPr>
        <w:drawing>
          <wp:inline distT="0" distB="0" distL="0" distR="0" wp14:anchorId="206C1E99" wp14:editId="3B87A3A0">
            <wp:extent cx="4790539" cy="1847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795371" cy="1849714"/>
                    </a:xfrm>
                    <a:prstGeom prst="rect">
                      <a:avLst/>
                    </a:prstGeom>
                    <a:noFill/>
                    <a:ln>
                      <a:noFill/>
                    </a:ln>
                  </pic:spPr>
                </pic:pic>
              </a:graphicData>
            </a:graphic>
          </wp:inline>
        </w:drawing>
      </w:r>
    </w:p>
    <w:p w14:paraId="1BCFC00A" w14:textId="77777777" w:rsidR="003D41BD" w:rsidRDefault="003D41BD" w:rsidP="003D41BD">
      <w:pPr>
        <w:jc w:val="center"/>
        <w:rPr>
          <w:b/>
          <w:bCs/>
          <w:color w:val="33AE9A"/>
          <w:sz w:val="32"/>
          <w:szCs w:val="32"/>
          <w:lang w:val="fr-FR"/>
        </w:rPr>
      </w:pPr>
    </w:p>
    <w:p w14:paraId="0C06FB6E" w14:textId="77777777" w:rsidR="003D41BD" w:rsidRDefault="003D41BD" w:rsidP="003D41BD">
      <w:pPr>
        <w:jc w:val="center"/>
        <w:rPr>
          <w:b/>
          <w:bCs/>
          <w:color w:val="33AE9A"/>
          <w:sz w:val="32"/>
          <w:szCs w:val="32"/>
          <w:lang w:val="fr-FR"/>
        </w:rPr>
      </w:pPr>
    </w:p>
    <w:p w14:paraId="02E85C7E" w14:textId="77777777" w:rsidR="003D41BD" w:rsidRDefault="003D41BD" w:rsidP="003D41BD">
      <w:pPr>
        <w:jc w:val="center"/>
        <w:rPr>
          <w:b/>
          <w:bCs/>
          <w:color w:val="33AE9A"/>
          <w:sz w:val="32"/>
          <w:szCs w:val="32"/>
          <w:lang w:val="fr-FR"/>
        </w:rPr>
      </w:pPr>
    </w:p>
    <w:p w14:paraId="273103B9" w14:textId="77777777" w:rsidR="003D41BD" w:rsidRPr="00023496" w:rsidRDefault="003D41BD" w:rsidP="003D41BD">
      <w:pPr>
        <w:jc w:val="center"/>
        <w:rPr>
          <w:b/>
          <w:bCs/>
          <w:color w:val="000000" w:themeColor="text1"/>
          <w:sz w:val="28"/>
          <w:szCs w:val="28"/>
          <w:lang w:val="fr-FR"/>
        </w:rPr>
      </w:pPr>
      <w:r w:rsidRPr="00023496">
        <w:rPr>
          <w:b/>
          <w:bCs/>
          <w:color w:val="000000" w:themeColor="text1"/>
          <w:sz w:val="28"/>
          <w:szCs w:val="28"/>
          <w:lang w:val="fr-FR"/>
        </w:rPr>
        <w:t>Pour une meilleure alimentation, respectueuse de l’humain et de l’environnement</w:t>
      </w:r>
    </w:p>
    <w:p w14:paraId="1E68A1A9" w14:textId="77777777" w:rsidR="00023496" w:rsidRDefault="00023496" w:rsidP="003D41BD">
      <w:pPr>
        <w:jc w:val="center"/>
        <w:rPr>
          <w:b/>
          <w:bCs/>
          <w:color w:val="33AE9A"/>
          <w:sz w:val="32"/>
          <w:szCs w:val="32"/>
          <w:lang w:val="fr-FR"/>
        </w:rPr>
      </w:pPr>
    </w:p>
    <w:p w14:paraId="2F0E8585" w14:textId="77777777" w:rsidR="00023496" w:rsidRDefault="00023496" w:rsidP="003D41BD">
      <w:pPr>
        <w:jc w:val="center"/>
        <w:rPr>
          <w:b/>
          <w:bCs/>
          <w:color w:val="33AE9A"/>
          <w:sz w:val="32"/>
          <w:szCs w:val="32"/>
          <w:lang w:val="fr-FR"/>
        </w:rPr>
      </w:pPr>
    </w:p>
    <w:p w14:paraId="5B2510D6" w14:textId="77777777" w:rsidR="00023496" w:rsidRPr="00023496" w:rsidRDefault="00023496" w:rsidP="003D41BD">
      <w:pPr>
        <w:jc w:val="center"/>
        <w:rPr>
          <w:color w:val="000000" w:themeColor="text1"/>
          <w:sz w:val="24"/>
          <w:szCs w:val="24"/>
          <w:lang w:val="fr-FR"/>
        </w:rPr>
        <w:sectPr w:rsidR="00023496" w:rsidRPr="000234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r w:rsidRPr="00023496">
        <w:rPr>
          <w:color w:val="000000" w:themeColor="text1"/>
          <w:sz w:val="24"/>
          <w:szCs w:val="24"/>
          <w:lang w:val="fr-FR"/>
        </w:rPr>
        <w:t>Le Green Deal – Cantines durables fait partie de la stratégie « Manger Demain » : vers un système alimentaire durable en Wallonie.</w:t>
      </w:r>
    </w:p>
    <w:sdt>
      <w:sdtPr>
        <w:rPr>
          <w:rFonts w:asciiTheme="minorHAnsi" w:eastAsiaTheme="minorHAnsi" w:hAnsiTheme="minorHAnsi" w:cstheme="minorBidi"/>
          <w:b w:val="0"/>
          <w:color w:val="auto"/>
          <w:sz w:val="22"/>
          <w:szCs w:val="22"/>
          <w:lang w:val="fr-FR" w:eastAsia="en-US"/>
        </w:rPr>
        <w:id w:val="-1595923096"/>
        <w:docPartObj>
          <w:docPartGallery w:val="Table of Contents"/>
          <w:docPartUnique/>
        </w:docPartObj>
      </w:sdtPr>
      <w:sdtEndPr>
        <w:rPr>
          <w:bCs/>
        </w:rPr>
      </w:sdtEndPr>
      <w:sdtContent>
        <w:p w14:paraId="3803D38F" w14:textId="77777777" w:rsidR="003F7A55" w:rsidRDefault="003F7A55">
          <w:pPr>
            <w:pStyle w:val="En-ttedetabledesmatires"/>
          </w:pPr>
          <w:r>
            <w:rPr>
              <w:lang w:val="fr-FR"/>
            </w:rPr>
            <w:t>Table des matières</w:t>
          </w:r>
        </w:p>
        <w:p w14:paraId="596F1CCD" w14:textId="1131BDFC" w:rsidR="005A6E9F" w:rsidRDefault="003F7A55">
          <w:pPr>
            <w:pStyle w:val="TM1"/>
            <w:tabs>
              <w:tab w:val="right" w:leader="dot" w:pos="9062"/>
            </w:tabs>
            <w:rPr>
              <w:rFonts w:eastAsiaTheme="minorEastAsia"/>
              <w:noProof/>
              <w:lang w:eastAsia="fr-BE"/>
            </w:rPr>
          </w:pPr>
          <w:r>
            <w:fldChar w:fldCharType="begin"/>
          </w:r>
          <w:r>
            <w:instrText xml:space="preserve"> TOC \o "1-3" \h \z \u </w:instrText>
          </w:r>
          <w:r>
            <w:fldChar w:fldCharType="separate"/>
          </w:r>
          <w:hyperlink w:anchor="_Toc27563291" w:history="1">
            <w:r w:rsidR="005A6E9F" w:rsidRPr="00A86ABA">
              <w:rPr>
                <w:rStyle w:val="Lienhypertexte"/>
                <w:noProof/>
                <w:lang w:val="fr-FR"/>
              </w:rPr>
              <w:t>INTRODUCTION</w:t>
            </w:r>
            <w:r w:rsidR="005A6E9F">
              <w:rPr>
                <w:noProof/>
                <w:webHidden/>
              </w:rPr>
              <w:tab/>
            </w:r>
            <w:r w:rsidR="005A6E9F">
              <w:rPr>
                <w:noProof/>
                <w:webHidden/>
              </w:rPr>
              <w:fldChar w:fldCharType="begin"/>
            </w:r>
            <w:r w:rsidR="005A6E9F">
              <w:rPr>
                <w:noProof/>
                <w:webHidden/>
              </w:rPr>
              <w:instrText xml:space="preserve"> PAGEREF _Toc27563291 \h </w:instrText>
            </w:r>
            <w:r w:rsidR="005A6E9F">
              <w:rPr>
                <w:noProof/>
                <w:webHidden/>
              </w:rPr>
            </w:r>
            <w:r w:rsidR="005A6E9F">
              <w:rPr>
                <w:noProof/>
                <w:webHidden/>
              </w:rPr>
              <w:fldChar w:fldCharType="separate"/>
            </w:r>
            <w:r w:rsidR="00A37486">
              <w:rPr>
                <w:noProof/>
                <w:webHidden/>
              </w:rPr>
              <w:t>3</w:t>
            </w:r>
            <w:r w:rsidR="005A6E9F">
              <w:rPr>
                <w:noProof/>
                <w:webHidden/>
              </w:rPr>
              <w:fldChar w:fldCharType="end"/>
            </w:r>
          </w:hyperlink>
        </w:p>
        <w:p w14:paraId="16B0D8FE" w14:textId="234261F3" w:rsidR="005A6E9F" w:rsidRDefault="00DB087D">
          <w:pPr>
            <w:pStyle w:val="TM1"/>
            <w:tabs>
              <w:tab w:val="right" w:leader="dot" w:pos="9062"/>
            </w:tabs>
            <w:rPr>
              <w:rFonts w:eastAsiaTheme="minorEastAsia"/>
              <w:noProof/>
              <w:lang w:eastAsia="fr-BE"/>
            </w:rPr>
          </w:pPr>
          <w:hyperlink w:anchor="_Toc27563292" w:history="1">
            <w:r w:rsidR="005A6E9F" w:rsidRPr="00A86ABA">
              <w:rPr>
                <w:rStyle w:val="Lienhypertexte"/>
                <w:noProof/>
                <w:lang w:val="fr-FR"/>
              </w:rPr>
              <w:t>Article 1. OBJET</w:t>
            </w:r>
            <w:r w:rsidR="005A6E9F">
              <w:rPr>
                <w:noProof/>
                <w:webHidden/>
              </w:rPr>
              <w:tab/>
            </w:r>
            <w:r w:rsidR="005A6E9F">
              <w:rPr>
                <w:noProof/>
                <w:webHidden/>
              </w:rPr>
              <w:fldChar w:fldCharType="begin"/>
            </w:r>
            <w:r w:rsidR="005A6E9F">
              <w:rPr>
                <w:noProof/>
                <w:webHidden/>
              </w:rPr>
              <w:instrText xml:space="preserve"> PAGEREF _Toc27563292 \h </w:instrText>
            </w:r>
            <w:r w:rsidR="005A6E9F">
              <w:rPr>
                <w:noProof/>
                <w:webHidden/>
              </w:rPr>
            </w:r>
            <w:r w:rsidR="005A6E9F">
              <w:rPr>
                <w:noProof/>
                <w:webHidden/>
              </w:rPr>
              <w:fldChar w:fldCharType="separate"/>
            </w:r>
            <w:r w:rsidR="00A37486">
              <w:rPr>
                <w:noProof/>
                <w:webHidden/>
              </w:rPr>
              <w:t>4</w:t>
            </w:r>
            <w:r w:rsidR="005A6E9F">
              <w:rPr>
                <w:noProof/>
                <w:webHidden/>
              </w:rPr>
              <w:fldChar w:fldCharType="end"/>
            </w:r>
          </w:hyperlink>
        </w:p>
        <w:p w14:paraId="19813DB3" w14:textId="58B69101" w:rsidR="005A6E9F" w:rsidRDefault="00DB087D">
          <w:pPr>
            <w:pStyle w:val="TM1"/>
            <w:tabs>
              <w:tab w:val="right" w:leader="dot" w:pos="9062"/>
            </w:tabs>
            <w:rPr>
              <w:rFonts w:eastAsiaTheme="minorEastAsia"/>
              <w:noProof/>
              <w:lang w:eastAsia="fr-BE"/>
            </w:rPr>
          </w:pPr>
          <w:hyperlink w:anchor="_Toc27563293" w:history="1">
            <w:r w:rsidR="005A6E9F" w:rsidRPr="00A86ABA">
              <w:rPr>
                <w:rStyle w:val="Lienhypertexte"/>
                <w:noProof/>
                <w:lang w:val="fr-FR"/>
              </w:rPr>
              <w:t>Article 2. PARTIES IMPLIQUEES</w:t>
            </w:r>
            <w:r w:rsidR="005A6E9F">
              <w:rPr>
                <w:noProof/>
                <w:webHidden/>
              </w:rPr>
              <w:tab/>
            </w:r>
            <w:r w:rsidR="005A6E9F">
              <w:rPr>
                <w:noProof/>
                <w:webHidden/>
              </w:rPr>
              <w:fldChar w:fldCharType="begin"/>
            </w:r>
            <w:r w:rsidR="005A6E9F">
              <w:rPr>
                <w:noProof/>
                <w:webHidden/>
              </w:rPr>
              <w:instrText xml:space="preserve"> PAGEREF _Toc27563293 \h </w:instrText>
            </w:r>
            <w:r w:rsidR="005A6E9F">
              <w:rPr>
                <w:noProof/>
                <w:webHidden/>
              </w:rPr>
            </w:r>
            <w:r w:rsidR="005A6E9F">
              <w:rPr>
                <w:noProof/>
                <w:webHidden/>
              </w:rPr>
              <w:fldChar w:fldCharType="separate"/>
            </w:r>
            <w:r w:rsidR="00A37486">
              <w:rPr>
                <w:noProof/>
                <w:webHidden/>
              </w:rPr>
              <w:t>4</w:t>
            </w:r>
            <w:r w:rsidR="005A6E9F">
              <w:rPr>
                <w:noProof/>
                <w:webHidden/>
              </w:rPr>
              <w:fldChar w:fldCharType="end"/>
            </w:r>
          </w:hyperlink>
        </w:p>
        <w:p w14:paraId="0E28C310" w14:textId="7E9F59A0" w:rsidR="005A6E9F" w:rsidRDefault="00DB087D">
          <w:pPr>
            <w:pStyle w:val="TM2"/>
            <w:tabs>
              <w:tab w:val="right" w:leader="dot" w:pos="9062"/>
            </w:tabs>
            <w:rPr>
              <w:rFonts w:eastAsiaTheme="minorEastAsia"/>
              <w:noProof/>
              <w:lang w:eastAsia="fr-BE"/>
            </w:rPr>
          </w:pPr>
          <w:hyperlink w:anchor="_Toc27563294" w:history="1">
            <w:r w:rsidR="005A6E9F" w:rsidRPr="00A86ABA">
              <w:rPr>
                <w:rStyle w:val="Lienhypertexte"/>
                <w:noProof/>
              </w:rPr>
              <w:t>Coordination et suivi</w:t>
            </w:r>
            <w:r w:rsidR="005A6E9F">
              <w:rPr>
                <w:noProof/>
                <w:webHidden/>
              </w:rPr>
              <w:tab/>
            </w:r>
            <w:r w:rsidR="005A6E9F">
              <w:rPr>
                <w:noProof/>
                <w:webHidden/>
              </w:rPr>
              <w:fldChar w:fldCharType="begin"/>
            </w:r>
            <w:r w:rsidR="005A6E9F">
              <w:rPr>
                <w:noProof/>
                <w:webHidden/>
              </w:rPr>
              <w:instrText xml:space="preserve"> PAGEREF _Toc27563294 \h </w:instrText>
            </w:r>
            <w:r w:rsidR="005A6E9F">
              <w:rPr>
                <w:noProof/>
                <w:webHidden/>
              </w:rPr>
            </w:r>
            <w:r w:rsidR="005A6E9F">
              <w:rPr>
                <w:noProof/>
                <w:webHidden/>
              </w:rPr>
              <w:fldChar w:fldCharType="separate"/>
            </w:r>
            <w:r w:rsidR="00A37486">
              <w:rPr>
                <w:noProof/>
                <w:webHidden/>
              </w:rPr>
              <w:t>4</w:t>
            </w:r>
            <w:r w:rsidR="005A6E9F">
              <w:rPr>
                <w:noProof/>
                <w:webHidden/>
              </w:rPr>
              <w:fldChar w:fldCharType="end"/>
            </w:r>
          </w:hyperlink>
        </w:p>
        <w:p w14:paraId="4CCFF7C8" w14:textId="6A3FA93A" w:rsidR="005A6E9F" w:rsidRDefault="00DB087D">
          <w:pPr>
            <w:pStyle w:val="TM2"/>
            <w:tabs>
              <w:tab w:val="right" w:leader="dot" w:pos="9062"/>
            </w:tabs>
            <w:rPr>
              <w:rFonts w:eastAsiaTheme="minorEastAsia"/>
              <w:noProof/>
              <w:lang w:eastAsia="fr-BE"/>
            </w:rPr>
          </w:pPr>
          <w:hyperlink w:anchor="_Toc27563295" w:history="1">
            <w:r w:rsidR="005A6E9F" w:rsidRPr="00A86ABA">
              <w:rPr>
                <w:rStyle w:val="Lienhypertexte"/>
                <w:noProof/>
                <w:lang w:val="fr-FR"/>
              </w:rPr>
              <w:t>Les signataires</w:t>
            </w:r>
            <w:r w:rsidR="005A6E9F">
              <w:rPr>
                <w:noProof/>
                <w:webHidden/>
              </w:rPr>
              <w:tab/>
            </w:r>
            <w:r w:rsidR="005A6E9F">
              <w:rPr>
                <w:noProof/>
                <w:webHidden/>
              </w:rPr>
              <w:fldChar w:fldCharType="begin"/>
            </w:r>
            <w:r w:rsidR="005A6E9F">
              <w:rPr>
                <w:noProof/>
                <w:webHidden/>
              </w:rPr>
              <w:instrText xml:space="preserve"> PAGEREF _Toc27563295 \h </w:instrText>
            </w:r>
            <w:r w:rsidR="005A6E9F">
              <w:rPr>
                <w:noProof/>
                <w:webHidden/>
              </w:rPr>
            </w:r>
            <w:r w:rsidR="005A6E9F">
              <w:rPr>
                <w:noProof/>
                <w:webHidden/>
              </w:rPr>
              <w:fldChar w:fldCharType="separate"/>
            </w:r>
            <w:r w:rsidR="00A37486">
              <w:rPr>
                <w:noProof/>
                <w:webHidden/>
              </w:rPr>
              <w:t>4</w:t>
            </w:r>
            <w:r w:rsidR="005A6E9F">
              <w:rPr>
                <w:noProof/>
                <w:webHidden/>
              </w:rPr>
              <w:fldChar w:fldCharType="end"/>
            </w:r>
          </w:hyperlink>
        </w:p>
        <w:p w14:paraId="61618B9F" w14:textId="2BAEFC3C" w:rsidR="005A6E9F" w:rsidRDefault="00DB087D">
          <w:pPr>
            <w:pStyle w:val="TM2"/>
            <w:tabs>
              <w:tab w:val="right" w:leader="dot" w:pos="9062"/>
            </w:tabs>
            <w:rPr>
              <w:rFonts w:eastAsiaTheme="minorEastAsia"/>
              <w:noProof/>
              <w:lang w:eastAsia="fr-BE"/>
            </w:rPr>
          </w:pPr>
          <w:hyperlink w:anchor="_Toc27563296" w:history="1">
            <w:r w:rsidR="005A6E9F" w:rsidRPr="00A86ABA">
              <w:rPr>
                <w:rStyle w:val="Lienhypertexte"/>
                <w:noProof/>
                <w:lang w:val="fr-FR"/>
              </w:rPr>
              <w:t>La cellule Manger Demain</w:t>
            </w:r>
            <w:r w:rsidR="005A6E9F">
              <w:rPr>
                <w:noProof/>
                <w:webHidden/>
              </w:rPr>
              <w:tab/>
            </w:r>
            <w:r w:rsidR="005A6E9F">
              <w:rPr>
                <w:noProof/>
                <w:webHidden/>
              </w:rPr>
              <w:fldChar w:fldCharType="begin"/>
            </w:r>
            <w:r w:rsidR="005A6E9F">
              <w:rPr>
                <w:noProof/>
                <w:webHidden/>
              </w:rPr>
              <w:instrText xml:space="preserve"> PAGEREF _Toc27563296 \h </w:instrText>
            </w:r>
            <w:r w:rsidR="005A6E9F">
              <w:rPr>
                <w:noProof/>
                <w:webHidden/>
              </w:rPr>
            </w:r>
            <w:r w:rsidR="005A6E9F">
              <w:rPr>
                <w:noProof/>
                <w:webHidden/>
              </w:rPr>
              <w:fldChar w:fldCharType="separate"/>
            </w:r>
            <w:r w:rsidR="00A37486">
              <w:rPr>
                <w:noProof/>
                <w:webHidden/>
              </w:rPr>
              <w:t>4</w:t>
            </w:r>
            <w:r w:rsidR="005A6E9F">
              <w:rPr>
                <w:noProof/>
                <w:webHidden/>
              </w:rPr>
              <w:fldChar w:fldCharType="end"/>
            </w:r>
          </w:hyperlink>
        </w:p>
        <w:p w14:paraId="7636360A" w14:textId="2DE1B33F" w:rsidR="005A6E9F" w:rsidRDefault="00DB087D">
          <w:pPr>
            <w:pStyle w:val="TM2"/>
            <w:tabs>
              <w:tab w:val="right" w:leader="dot" w:pos="9062"/>
            </w:tabs>
            <w:rPr>
              <w:rFonts w:eastAsiaTheme="minorEastAsia"/>
              <w:noProof/>
              <w:lang w:eastAsia="fr-BE"/>
            </w:rPr>
          </w:pPr>
          <w:hyperlink w:anchor="_Toc27563297" w:history="1">
            <w:r w:rsidR="005A6E9F" w:rsidRPr="00A86ABA">
              <w:rPr>
                <w:rStyle w:val="Lienhypertexte"/>
                <w:noProof/>
                <w:lang w:val="fr-FR"/>
              </w:rPr>
              <w:t>Le comité de pilotage</w:t>
            </w:r>
            <w:r w:rsidR="005A6E9F">
              <w:rPr>
                <w:noProof/>
                <w:webHidden/>
              </w:rPr>
              <w:tab/>
            </w:r>
            <w:r w:rsidR="005A6E9F">
              <w:rPr>
                <w:noProof/>
                <w:webHidden/>
              </w:rPr>
              <w:fldChar w:fldCharType="begin"/>
            </w:r>
            <w:r w:rsidR="005A6E9F">
              <w:rPr>
                <w:noProof/>
                <w:webHidden/>
              </w:rPr>
              <w:instrText xml:space="preserve"> PAGEREF _Toc27563297 \h </w:instrText>
            </w:r>
            <w:r w:rsidR="005A6E9F">
              <w:rPr>
                <w:noProof/>
                <w:webHidden/>
              </w:rPr>
            </w:r>
            <w:r w:rsidR="005A6E9F">
              <w:rPr>
                <w:noProof/>
                <w:webHidden/>
              </w:rPr>
              <w:fldChar w:fldCharType="separate"/>
            </w:r>
            <w:r w:rsidR="00A37486">
              <w:rPr>
                <w:noProof/>
                <w:webHidden/>
              </w:rPr>
              <w:t>5</w:t>
            </w:r>
            <w:r w:rsidR="005A6E9F">
              <w:rPr>
                <w:noProof/>
                <w:webHidden/>
              </w:rPr>
              <w:fldChar w:fldCharType="end"/>
            </w:r>
          </w:hyperlink>
        </w:p>
        <w:p w14:paraId="18C41153" w14:textId="720247A0" w:rsidR="005A6E9F" w:rsidRDefault="00DB087D">
          <w:pPr>
            <w:pStyle w:val="TM1"/>
            <w:tabs>
              <w:tab w:val="right" w:leader="dot" w:pos="9062"/>
            </w:tabs>
            <w:rPr>
              <w:rFonts w:eastAsiaTheme="minorEastAsia"/>
              <w:noProof/>
              <w:lang w:eastAsia="fr-BE"/>
            </w:rPr>
          </w:pPr>
          <w:hyperlink w:anchor="_Toc27563298" w:history="1">
            <w:r w:rsidR="005A6E9F" w:rsidRPr="00A86ABA">
              <w:rPr>
                <w:rStyle w:val="Lienhypertexte"/>
                <w:noProof/>
                <w:lang w:val="fr-FR"/>
              </w:rPr>
              <w:t>Article 3. OBJECTIFS GENERAUX ET SPECIFIQUES</w:t>
            </w:r>
            <w:r w:rsidR="005A6E9F">
              <w:rPr>
                <w:noProof/>
                <w:webHidden/>
              </w:rPr>
              <w:tab/>
            </w:r>
            <w:r w:rsidR="005A6E9F">
              <w:rPr>
                <w:noProof/>
                <w:webHidden/>
              </w:rPr>
              <w:fldChar w:fldCharType="begin"/>
            </w:r>
            <w:r w:rsidR="005A6E9F">
              <w:rPr>
                <w:noProof/>
                <w:webHidden/>
              </w:rPr>
              <w:instrText xml:space="preserve"> PAGEREF _Toc27563298 \h </w:instrText>
            </w:r>
            <w:r w:rsidR="005A6E9F">
              <w:rPr>
                <w:noProof/>
                <w:webHidden/>
              </w:rPr>
            </w:r>
            <w:r w:rsidR="005A6E9F">
              <w:rPr>
                <w:noProof/>
                <w:webHidden/>
              </w:rPr>
              <w:fldChar w:fldCharType="separate"/>
            </w:r>
            <w:r w:rsidR="00A37486">
              <w:rPr>
                <w:noProof/>
                <w:webHidden/>
              </w:rPr>
              <w:t>5</w:t>
            </w:r>
            <w:r w:rsidR="005A6E9F">
              <w:rPr>
                <w:noProof/>
                <w:webHidden/>
              </w:rPr>
              <w:fldChar w:fldCharType="end"/>
            </w:r>
          </w:hyperlink>
        </w:p>
        <w:p w14:paraId="34D96203" w14:textId="1C2FE36D" w:rsidR="005A6E9F" w:rsidRDefault="00DB087D">
          <w:pPr>
            <w:pStyle w:val="TM1"/>
            <w:tabs>
              <w:tab w:val="right" w:leader="dot" w:pos="9062"/>
            </w:tabs>
            <w:rPr>
              <w:rFonts w:eastAsiaTheme="minorEastAsia"/>
              <w:noProof/>
              <w:lang w:eastAsia="fr-BE"/>
            </w:rPr>
          </w:pPr>
          <w:hyperlink w:anchor="_Toc27563299" w:history="1">
            <w:r w:rsidR="005A6E9F" w:rsidRPr="00A86ABA">
              <w:rPr>
                <w:rStyle w:val="Lienhypertexte"/>
                <w:noProof/>
                <w:lang w:val="fr-FR"/>
              </w:rPr>
              <w:t>Article 4. ENGAGEMENTS DES SIGNATAIRES</w:t>
            </w:r>
            <w:r w:rsidR="005A6E9F">
              <w:rPr>
                <w:noProof/>
                <w:webHidden/>
              </w:rPr>
              <w:tab/>
            </w:r>
            <w:r w:rsidR="005A6E9F">
              <w:rPr>
                <w:noProof/>
                <w:webHidden/>
              </w:rPr>
              <w:fldChar w:fldCharType="begin"/>
            </w:r>
            <w:r w:rsidR="005A6E9F">
              <w:rPr>
                <w:noProof/>
                <w:webHidden/>
              </w:rPr>
              <w:instrText xml:space="preserve"> PAGEREF _Toc27563299 \h </w:instrText>
            </w:r>
            <w:r w:rsidR="005A6E9F">
              <w:rPr>
                <w:noProof/>
                <w:webHidden/>
              </w:rPr>
            </w:r>
            <w:r w:rsidR="005A6E9F">
              <w:rPr>
                <w:noProof/>
                <w:webHidden/>
              </w:rPr>
              <w:fldChar w:fldCharType="separate"/>
            </w:r>
            <w:r w:rsidR="00A37486">
              <w:rPr>
                <w:noProof/>
                <w:webHidden/>
              </w:rPr>
              <w:t>5</w:t>
            </w:r>
            <w:r w:rsidR="005A6E9F">
              <w:rPr>
                <w:noProof/>
                <w:webHidden/>
              </w:rPr>
              <w:fldChar w:fldCharType="end"/>
            </w:r>
          </w:hyperlink>
        </w:p>
        <w:p w14:paraId="1291E429" w14:textId="1E38FE08" w:rsidR="005A6E9F" w:rsidRDefault="00DB087D">
          <w:pPr>
            <w:pStyle w:val="TM2"/>
            <w:tabs>
              <w:tab w:val="right" w:leader="dot" w:pos="9062"/>
            </w:tabs>
            <w:rPr>
              <w:rFonts w:eastAsiaTheme="minorEastAsia"/>
              <w:noProof/>
              <w:lang w:eastAsia="fr-BE"/>
            </w:rPr>
          </w:pPr>
          <w:hyperlink w:anchor="_Toc27563300" w:history="1">
            <w:r w:rsidR="005A6E9F" w:rsidRPr="00A86ABA">
              <w:rPr>
                <w:rStyle w:val="Lienhypertexte"/>
                <w:noProof/>
                <w:lang w:val="fr-FR"/>
              </w:rPr>
              <w:t>Engagements généraux</w:t>
            </w:r>
            <w:r w:rsidR="005A6E9F">
              <w:rPr>
                <w:noProof/>
                <w:webHidden/>
              </w:rPr>
              <w:tab/>
            </w:r>
            <w:r w:rsidR="005A6E9F">
              <w:rPr>
                <w:noProof/>
                <w:webHidden/>
              </w:rPr>
              <w:fldChar w:fldCharType="begin"/>
            </w:r>
            <w:r w:rsidR="005A6E9F">
              <w:rPr>
                <w:noProof/>
                <w:webHidden/>
              </w:rPr>
              <w:instrText xml:space="preserve"> PAGEREF _Toc27563300 \h </w:instrText>
            </w:r>
            <w:r w:rsidR="005A6E9F">
              <w:rPr>
                <w:noProof/>
                <w:webHidden/>
              </w:rPr>
            </w:r>
            <w:r w:rsidR="005A6E9F">
              <w:rPr>
                <w:noProof/>
                <w:webHidden/>
              </w:rPr>
              <w:fldChar w:fldCharType="separate"/>
            </w:r>
            <w:r w:rsidR="00A37486">
              <w:rPr>
                <w:noProof/>
                <w:webHidden/>
              </w:rPr>
              <w:t>5</w:t>
            </w:r>
            <w:r w:rsidR="005A6E9F">
              <w:rPr>
                <w:noProof/>
                <w:webHidden/>
              </w:rPr>
              <w:fldChar w:fldCharType="end"/>
            </w:r>
          </w:hyperlink>
        </w:p>
        <w:p w14:paraId="01EAAEEC" w14:textId="52D8D782" w:rsidR="005A6E9F" w:rsidRDefault="00DB087D">
          <w:pPr>
            <w:pStyle w:val="TM2"/>
            <w:tabs>
              <w:tab w:val="right" w:leader="dot" w:pos="9062"/>
            </w:tabs>
            <w:rPr>
              <w:rFonts w:eastAsiaTheme="minorEastAsia"/>
              <w:noProof/>
              <w:lang w:eastAsia="fr-BE"/>
            </w:rPr>
          </w:pPr>
          <w:hyperlink w:anchor="_Toc27563301" w:history="1">
            <w:r w:rsidR="005A6E9F" w:rsidRPr="00A86ABA">
              <w:rPr>
                <w:rStyle w:val="Lienhypertexte"/>
                <w:noProof/>
                <w:lang w:val="fr-FR"/>
              </w:rPr>
              <w:t>Engagements spécifiques</w:t>
            </w:r>
            <w:r w:rsidR="005A6E9F">
              <w:rPr>
                <w:noProof/>
                <w:webHidden/>
              </w:rPr>
              <w:tab/>
            </w:r>
            <w:r w:rsidR="005A6E9F">
              <w:rPr>
                <w:noProof/>
                <w:webHidden/>
              </w:rPr>
              <w:fldChar w:fldCharType="begin"/>
            </w:r>
            <w:r w:rsidR="005A6E9F">
              <w:rPr>
                <w:noProof/>
                <w:webHidden/>
              </w:rPr>
              <w:instrText xml:space="preserve"> PAGEREF _Toc27563301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234545CA" w14:textId="51FA24B9" w:rsidR="005A6E9F" w:rsidRDefault="00DB087D">
          <w:pPr>
            <w:pStyle w:val="TM1"/>
            <w:tabs>
              <w:tab w:val="right" w:leader="dot" w:pos="9062"/>
            </w:tabs>
            <w:rPr>
              <w:rFonts w:eastAsiaTheme="minorEastAsia"/>
              <w:noProof/>
              <w:lang w:eastAsia="fr-BE"/>
            </w:rPr>
          </w:pPr>
          <w:hyperlink w:anchor="_Toc27563302" w:history="1">
            <w:r w:rsidR="005A6E9F" w:rsidRPr="00A86ABA">
              <w:rPr>
                <w:rStyle w:val="Lienhypertexte"/>
                <w:noProof/>
                <w:lang w:val="fr-FR"/>
              </w:rPr>
              <w:t>Article 5. DUREE DE LA CONVENTION</w:t>
            </w:r>
            <w:r w:rsidR="005A6E9F">
              <w:rPr>
                <w:noProof/>
                <w:webHidden/>
              </w:rPr>
              <w:tab/>
            </w:r>
            <w:r w:rsidR="005A6E9F">
              <w:rPr>
                <w:noProof/>
                <w:webHidden/>
              </w:rPr>
              <w:fldChar w:fldCharType="begin"/>
            </w:r>
            <w:r w:rsidR="005A6E9F">
              <w:rPr>
                <w:noProof/>
                <w:webHidden/>
              </w:rPr>
              <w:instrText xml:space="preserve"> PAGEREF _Toc27563302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339316C0" w14:textId="639B5469" w:rsidR="005A6E9F" w:rsidRDefault="00DB087D">
          <w:pPr>
            <w:pStyle w:val="TM1"/>
            <w:tabs>
              <w:tab w:val="right" w:leader="dot" w:pos="9062"/>
            </w:tabs>
            <w:rPr>
              <w:rFonts w:eastAsiaTheme="minorEastAsia"/>
              <w:noProof/>
              <w:lang w:eastAsia="fr-BE"/>
            </w:rPr>
          </w:pPr>
          <w:hyperlink w:anchor="_Toc27563303" w:history="1">
            <w:r w:rsidR="005A6E9F" w:rsidRPr="00A86ABA">
              <w:rPr>
                <w:rStyle w:val="Lienhypertexte"/>
                <w:noProof/>
                <w:lang w:val="fr-FR"/>
              </w:rPr>
              <w:t>Article 6. ADHESION, EXCLUSION ET RETRAIT</w:t>
            </w:r>
            <w:r w:rsidR="005A6E9F">
              <w:rPr>
                <w:noProof/>
                <w:webHidden/>
              </w:rPr>
              <w:tab/>
            </w:r>
            <w:r w:rsidR="005A6E9F">
              <w:rPr>
                <w:noProof/>
                <w:webHidden/>
              </w:rPr>
              <w:fldChar w:fldCharType="begin"/>
            </w:r>
            <w:r w:rsidR="005A6E9F">
              <w:rPr>
                <w:noProof/>
                <w:webHidden/>
              </w:rPr>
              <w:instrText xml:space="preserve"> PAGEREF _Toc27563303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2CDC8F5B" w14:textId="43354CFE" w:rsidR="005A6E9F" w:rsidRDefault="00DB087D">
          <w:pPr>
            <w:pStyle w:val="TM2"/>
            <w:tabs>
              <w:tab w:val="right" w:leader="dot" w:pos="9062"/>
            </w:tabs>
            <w:rPr>
              <w:rFonts w:eastAsiaTheme="minorEastAsia"/>
              <w:noProof/>
              <w:lang w:eastAsia="fr-BE"/>
            </w:rPr>
          </w:pPr>
          <w:hyperlink w:anchor="_Toc27563304" w:history="1">
            <w:r w:rsidR="005A6E9F" w:rsidRPr="00A86ABA">
              <w:rPr>
                <w:rStyle w:val="Lienhypertexte"/>
                <w:noProof/>
                <w:lang w:val="fr-FR"/>
              </w:rPr>
              <w:t>Adhésion</w:t>
            </w:r>
            <w:r w:rsidR="005A6E9F">
              <w:rPr>
                <w:noProof/>
                <w:webHidden/>
              </w:rPr>
              <w:tab/>
            </w:r>
            <w:r w:rsidR="005A6E9F">
              <w:rPr>
                <w:noProof/>
                <w:webHidden/>
              </w:rPr>
              <w:fldChar w:fldCharType="begin"/>
            </w:r>
            <w:r w:rsidR="005A6E9F">
              <w:rPr>
                <w:noProof/>
                <w:webHidden/>
              </w:rPr>
              <w:instrText xml:space="preserve"> PAGEREF _Toc27563304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2474541A" w14:textId="5B976B59" w:rsidR="005A6E9F" w:rsidRDefault="00DB087D">
          <w:pPr>
            <w:pStyle w:val="TM2"/>
            <w:tabs>
              <w:tab w:val="right" w:leader="dot" w:pos="9062"/>
            </w:tabs>
            <w:rPr>
              <w:rFonts w:eastAsiaTheme="minorEastAsia"/>
              <w:noProof/>
              <w:lang w:eastAsia="fr-BE"/>
            </w:rPr>
          </w:pPr>
          <w:hyperlink w:anchor="_Toc27563305" w:history="1">
            <w:r w:rsidR="005A6E9F" w:rsidRPr="00A86ABA">
              <w:rPr>
                <w:rStyle w:val="Lienhypertexte"/>
                <w:noProof/>
                <w:lang w:val="fr-FR"/>
              </w:rPr>
              <w:t>Exclusion</w:t>
            </w:r>
            <w:r w:rsidR="005A6E9F">
              <w:rPr>
                <w:noProof/>
                <w:webHidden/>
              </w:rPr>
              <w:tab/>
            </w:r>
            <w:r w:rsidR="005A6E9F">
              <w:rPr>
                <w:noProof/>
                <w:webHidden/>
              </w:rPr>
              <w:fldChar w:fldCharType="begin"/>
            </w:r>
            <w:r w:rsidR="005A6E9F">
              <w:rPr>
                <w:noProof/>
                <w:webHidden/>
              </w:rPr>
              <w:instrText xml:space="preserve"> PAGEREF _Toc27563305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1DCB2C35" w14:textId="5EF7E3E6" w:rsidR="005A6E9F" w:rsidRDefault="00DB087D">
          <w:pPr>
            <w:pStyle w:val="TM2"/>
            <w:tabs>
              <w:tab w:val="right" w:leader="dot" w:pos="9062"/>
            </w:tabs>
            <w:rPr>
              <w:rFonts w:eastAsiaTheme="minorEastAsia"/>
              <w:noProof/>
              <w:lang w:eastAsia="fr-BE"/>
            </w:rPr>
          </w:pPr>
          <w:hyperlink w:anchor="_Toc27563306" w:history="1">
            <w:r w:rsidR="005A6E9F" w:rsidRPr="00A86ABA">
              <w:rPr>
                <w:rStyle w:val="Lienhypertexte"/>
                <w:noProof/>
                <w:lang w:val="fr-FR"/>
              </w:rPr>
              <w:t>Résiliation et retrait</w:t>
            </w:r>
            <w:r w:rsidR="005A6E9F">
              <w:rPr>
                <w:noProof/>
                <w:webHidden/>
              </w:rPr>
              <w:tab/>
            </w:r>
            <w:r w:rsidR="005A6E9F">
              <w:rPr>
                <w:noProof/>
                <w:webHidden/>
              </w:rPr>
              <w:fldChar w:fldCharType="begin"/>
            </w:r>
            <w:r w:rsidR="005A6E9F">
              <w:rPr>
                <w:noProof/>
                <w:webHidden/>
              </w:rPr>
              <w:instrText xml:space="preserve"> PAGEREF _Toc27563306 \h </w:instrText>
            </w:r>
            <w:r w:rsidR="005A6E9F">
              <w:rPr>
                <w:noProof/>
                <w:webHidden/>
              </w:rPr>
            </w:r>
            <w:r w:rsidR="005A6E9F">
              <w:rPr>
                <w:noProof/>
                <w:webHidden/>
              </w:rPr>
              <w:fldChar w:fldCharType="separate"/>
            </w:r>
            <w:r w:rsidR="00A37486">
              <w:rPr>
                <w:noProof/>
                <w:webHidden/>
              </w:rPr>
              <w:t>6</w:t>
            </w:r>
            <w:r w:rsidR="005A6E9F">
              <w:rPr>
                <w:noProof/>
                <w:webHidden/>
              </w:rPr>
              <w:fldChar w:fldCharType="end"/>
            </w:r>
          </w:hyperlink>
        </w:p>
        <w:p w14:paraId="166BC107" w14:textId="71905C1A" w:rsidR="005A6E9F" w:rsidRDefault="00DB087D">
          <w:pPr>
            <w:pStyle w:val="TM1"/>
            <w:tabs>
              <w:tab w:val="right" w:leader="dot" w:pos="9062"/>
            </w:tabs>
            <w:rPr>
              <w:rFonts w:eastAsiaTheme="minorEastAsia"/>
              <w:noProof/>
              <w:lang w:eastAsia="fr-BE"/>
            </w:rPr>
          </w:pPr>
          <w:hyperlink w:anchor="_Toc27563307" w:history="1">
            <w:r w:rsidR="005A6E9F" w:rsidRPr="00A86ABA">
              <w:rPr>
                <w:rStyle w:val="Lienhypertexte"/>
                <w:noProof/>
                <w:lang w:val="fr-FR"/>
              </w:rPr>
              <w:t>Article 7. MODIFICATION</w:t>
            </w:r>
            <w:r w:rsidR="005A6E9F">
              <w:rPr>
                <w:noProof/>
                <w:webHidden/>
              </w:rPr>
              <w:tab/>
            </w:r>
            <w:r w:rsidR="005A6E9F">
              <w:rPr>
                <w:noProof/>
                <w:webHidden/>
              </w:rPr>
              <w:fldChar w:fldCharType="begin"/>
            </w:r>
            <w:r w:rsidR="005A6E9F">
              <w:rPr>
                <w:noProof/>
                <w:webHidden/>
              </w:rPr>
              <w:instrText xml:space="preserve"> PAGEREF _Toc27563307 \h </w:instrText>
            </w:r>
            <w:r w:rsidR="005A6E9F">
              <w:rPr>
                <w:noProof/>
                <w:webHidden/>
              </w:rPr>
            </w:r>
            <w:r w:rsidR="005A6E9F">
              <w:rPr>
                <w:noProof/>
                <w:webHidden/>
              </w:rPr>
              <w:fldChar w:fldCharType="separate"/>
            </w:r>
            <w:r w:rsidR="00A37486">
              <w:rPr>
                <w:noProof/>
                <w:webHidden/>
              </w:rPr>
              <w:t>7</w:t>
            </w:r>
            <w:r w:rsidR="005A6E9F">
              <w:rPr>
                <w:noProof/>
                <w:webHidden/>
              </w:rPr>
              <w:fldChar w:fldCharType="end"/>
            </w:r>
          </w:hyperlink>
        </w:p>
        <w:p w14:paraId="3ED8DFDE" w14:textId="533DAE0D" w:rsidR="005A6E9F" w:rsidRDefault="00DB087D">
          <w:pPr>
            <w:pStyle w:val="TM1"/>
            <w:tabs>
              <w:tab w:val="right" w:leader="dot" w:pos="9062"/>
            </w:tabs>
            <w:rPr>
              <w:rFonts w:eastAsiaTheme="minorEastAsia"/>
              <w:noProof/>
              <w:lang w:eastAsia="fr-BE"/>
            </w:rPr>
          </w:pPr>
          <w:hyperlink w:anchor="_Toc27563308" w:history="1">
            <w:r w:rsidR="005A6E9F" w:rsidRPr="00A86ABA">
              <w:rPr>
                <w:rStyle w:val="Lienhypertexte"/>
                <w:noProof/>
                <w:lang w:val="fr-FR"/>
              </w:rPr>
              <w:t>SIGNATURE</w:t>
            </w:r>
            <w:r w:rsidR="005A6E9F">
              <w:rPr>
                <w:noProof/>
                <w:webHidden/>
              </w:rPr>
              <w:tab/>
            </w:r>
            <w:r w:rsidR="005A6E9F">
              <w:rPr>
                <w:noProof/>
                <w:webHidden/>
              </w:rPr>
              <w:fldChar w:fldCharType="begin"/>
            </w:r>
            <w:r w:rsidR="005A6E9F">
              <w:rPr>
                <w:noProof/>
                <w:webHidden/>
              </w:rPr>
              <w:instrText xml:space="preserve"> PAGEREF _Toc27563308 \h </w:instrText>
            </w:r>
            <w:r w:rsidR="005A6E9F">
              <w:rPr>
                <w:noProof/>
                <w:webHidden/>
              </w:rPr>
            </w:r>
            <w:r w:rsidR="005A6E9F">
              <w:rPr>
                <w:noProof/>
                <w:webHidden/>
              </w:rPr>
              <w:fldChar w:fldCharType="separate"/>
            </w:r>
            <w:r w:rsidR="00A37486">
              <w:rPr>
                <w:noProof/>
                <w:webHidden/>
              </w:rPr>
              <w:t>8</w:t>
            </w:r>
            <w:r w:rsidR="005A6E9F">
              <w:rPr>
                <w:noProof/>
                <w:webHidden/>
              </w:rPr>
              <w:fldChar w:fldCharType="end"/>
            </w:r>
          </w:hyperlink>
        </w:p>
        <w:p w14:paraId="6218D805" w14:textId="21111593" w:rsidR="003F7A55" w:rsidRDefault="003F7A55">
          <w:r>
            <w:rPr>
              <w:b/>
              <w:bCs/>
              <w:lang w:val="fr-FR"/>
            </w:rPr>
            <w:fldChar w:fldCharType="end"/>
          </w:r>
        </w:p>
      </w:sdtContent>
    </w:sdt>
    <w:p w14:paraId="6E242895" w14:textId="77777777" w:rsidR="003F7A55" w:rsidRDefault="003F7A55" w:rsidP="003F7A55">
      <w:pPr>
        <w:pStyle w:val="Titre2"/>
        <w:rPr>
          <w:lang w:val="fr-FR"/>
        </w:rPr>
        <w:sectPr w:rsidR="003F7A55">
          <w:pgSz w:w="11906" w:h="16838"/>
          <w:pgMar w:top="1417" w:right="1417" w:bottom="1417" w:left="1417" w:header="708" w:footer="708" w:gutter="0"/>
          <w:cols w:space="708"/>
          <w:docGrid w:linePitch="360"/>
        </w:sectPr>
      </w:pPr>
    </w:p>
    <w:p w14:paraId="7C35C420" w14:textId="77777777" w:rsidR="009C211A" w:rsidRDefault="009C211A" w:rsidP="003F7A55">
      <w:pPr>
        <w:pStyle w:val="Titre1"/>
        <w:rPr>
          <w:lang w:val="fr-FR"/>
        </w:rPr>
      </w:pPr>
      <w:bookmarkStart w:id="0" w:name="_Toc27563291"/>
      <w:r>
        <w:rPr>
          <w:lang w:val="fr-FR"/>
        </w:rPr>
        <w:lastRenderedPageBreak/>
        <w:t>INTRODUCTION</w:t>
      </w:r>
      <w:bookmarkEnd w:id="0"/>
    </w:p>
    <w:p w14:paraId="35B20453" w14:textId="77777777" w:rsidR="003F7A55" w:rsidRPr="003F7A55" w:rsidRDefault="003F7A55" w:rsidP="003F7A55">
      <w:pPr>
        <w:rPr>
          <w:lang w:val="fr-FR"/>
        </w:rPr>
      </w:pPr>
    </w:p>
    <w:p w14:paraId="095CB202" w14:textId="77777777" w:rsidR="00C74EF7" w:rsidRDefault="00E86FF1" w:rsidP="00CF4EA1">
      <w:pPr>
        <w:jc w:val="both"/>
        <w:rPr>
          <w:lang w:val="fr-FR"/>
        </w:rPr>
      </w:pPr>
      <w:r>
        <w:rPr>
          <w:lang w:val="fr-FR"/>
        </w:rPr>
        <w:t xml:space="preserve">Le Green Deal « Cantines Durables » a été élaboré en 2018 sous l’impulsion du Ministre wallon de </w:t>
      </w:r>
      <w:r w:rsidRPr="00FA4CBB">
        <w:rPr>
          <w:color w:val="000000" w:themeColor="text1"/>
          <w:lang w:val="fr-FR"/>
        </w:rPr>
        <w:t>l</w:t>
      </w:r>
      <w:r w:rsidR="00846274" w:rsidRPr="00FA4CBB">
        <w:rPr>
          <w:color w:val="000000" w:themeColor="text1"/>
          <w:lang w:val="fr-FR"/>
        </w:rPr>
        <w:t>’</w:t>
      </w:r>
      <w:r w:rsidRPr="00FA4CBB">
        <w:rPr>
          <w:color w:val="000000" w:themeColor="text1"/>
          <w:lang w:val="fr-FR"/>
        </w:rPr>
        <w:t>environnement</w:t>
      </w:r>
      <w:r>
        <w:rPr>
          <w:lang w:val="fr-FR"/>
        </w:rPr>
        <w:t xml:space="preserve"> et de la Transition écologique, et mis en œuvre à l’aide de Good Planet Belgium avec l’appui de The Shift.</w:t>
      </w:r>
    </w:p>
    <w:p w14:paraId="44259FA3" w14:textId="77777777" w:rsidR="00E86FF1" w:rsidRDefault="00E86FF1" w:rsidP="00CF4EA1">
      <w:pPr>
        <w:jc w:val="both"/>
        <w:rPr>
          <w:lang w:val="fr-FR"/>
        </w:rPr>
      </w:pPr>
      <w:r>
        <w:rPr>
          <w:lang w:val="fr-FR"/>
        </w:rPr>
        <w:t>Considérant les enjeux environnementaux, sociaux et économiques de l’alimentation ;</w:t>
      </w:r>
    </w:p>
    <w:p w14:paraId="726A10CB" w14:textId="77777777" w:rsidR="00E86FF1" w:rsidRDefault="00E86FF1" w:rsidP="00CF4EA1">
      <w:pPr>
        <w:jc w:val="both"/>
        <w:rPr>
          <w:lang w:val="fr-FR"/>
        </w:rPr>
      </w:pPr>
      <w:r>
        <w:rPr>
          <w:lang w:val="fr-FR"/>
        </w:rPr>
        <w:t>Considérant l’importance de l’alimentation hors domicile dans l’alimentation quotidienne d’une partie de la population ;</w:t>
      </w:r>
    </w:p>
    <w:p w14:paraId="6A13411E" w14:textId="77777777" w:rsidR="00E86FF1" w:rsidRDefault="00E86FF1" w:rsidP="00CF4EA1">
      <w:pPr>
        <w:jc w:val="both"/>
        <w:rPr>
          <w:lang w:val="fr-FR"/>
        </w:rPr>
      </w:pPr>
      <w:r>
        <w:rPr>
          <w:lang w:val="fr-FR"/>
        </w:rPr>
        <w:t>Considérant le potentiel de diffusion des changements de comportement de la restauration collective auprès de ses usagers ;</w:t>
      </w:r>
    </w:p>
    <w:p w14:paraId="7FB60206" w14:textId="27E3567B" w:rsidR="00E86FF1" w:rsidRDefault="00E86FF1" w:rsidP="00CF4EA1">
      <w:pPr>
        <w:jc w:val="both"/>
        <w:rPr>
          <w:lang w:val="fr-FR"/>
        </w:rPr>
      </w:pPr>
      <w:r>
        <w:rPr>
          <w:lang w:val="fr-FR"/>
        </w:rPr>
        <w:t xml:space="preserve">Considérant la </w:t>
      </w:r>
      <w:r w:rsidR="00AA032F" w:rsidRPr="001228B6">
        <w:rPr>
          <w:lang w:val="fr-FR"/>
        </w:rPr>
        <w:t>deuxième</w:t>
      </w:r>
      <w:r w:rsidR="00AA032F">
        <w:rPr>
          <w:lang w:val="fr-FR"/>
        </w:rPr>
        <w:t xml:space="preserve"> </w:t>
      </w:r>
      <w:r>
        <w:rPr>
          <w:lang w:val="fr-FR"/>
        </w:rPr>
        <w:t>stratégie wallonne de développement durable</w:t>
      </w:r>
      <w:r w:rsidR="00103598">
        <w:rPr>
          <w:lang w:val="fr-FR"/>
        </w:rPr>
        <w:t xml:space="preserve">, </w:t>
      </w:r>
      <w:r w:rsidR="00CF4EA1">
        <w:rPr>
          <w:lang w:val="fr-FR"/>
        </w:rPr>
        <w:t>la stratégie « Manger Demain »</w:t>
      </w:r>
      <w:r>
        <w:rPr>
          <w:lang w:val="fr-FR"/>
        </w:rPr>
        <w:t>, le plan REGAL de lutte contre les pertes et le gaspillage alimentaire, le plan stratégique pour le développement de l’agriculture biologique en Wallonie à l’horizon 2020</w:t>
      </w:r>
      <w:r w:rsidR="00CF4EA1">
        <w:rPr>
          <w:lang w:val="fr-FR"/>
        </w:rPr>
        <w:t xml:space="preserve"> </w:t>
      </w:r>
      <w:r>
        <w:rPr>
          <w:lang w:val="fr-FR"/>
        </w:rPr>
        <w:t>;</w:t>
      </w:r>
    </w:p>
    <w:p w14:paraId="04789020" w14:textId="77777777" w:rsidR="00E86FF1" w:rsidRDefault="00E86FF1" w:rsidP="00CF4EA1">
      <w:pPr>
        <w:jc w:val="both"/>
        <w:rPr>
          <w:lang w:val="fr-FR"/>
        </w:rPr>
      </w:pPr>
      <w:r>
        <w:rPr>
          <w:lang w:val="fr-FR"/>
        </w:rPr>
        <w:t>Considérant qu’un processus collectif, dynamique et collaboratif permet de stimuler la transition écologique dans les cantines de collectivité, grâce à l’engagement volontaire de différents acteurs concernés à mener des actions concrètes ;</w:t>
      </w:r>
    </w:p>
    <w:p w14:paraId="203DDD7D" w14:textId="77777777" w:rsidR="00E86FF1" w:rsidRDefault="00E86FF1" w:rsidP="00CF4EA1">
      <w:pPr>
        <w:jc w:val="both"/>
        <w:rPr>
          <w:lang w:val="fr-FR"/>
        </w:rPr>
      </w:pPr>
      <w:r>
        <w:rPr>
          <w:lang w:val="fr-FR"/>
        </w:rPr>
        <w:t>Vu le référentiel établi en concertation avec les acteurs du système alimentaire wallon, intitulé « Vers un système alimentaire durable en Wallonie » ;</w:t>
      </w:r>
    </w:p>
    <w:p w14:paraId="0066D14A" w14:textId="77777777" w:rsidR="00E86FF1" w:rsidRDefault="00E86FF1" w:rsidP="00CF4EA1">
      <w:pPr>
        <w:jc w:val="both"/>
        <w:rPr>
          <w:lang w:val="fr-FR"/>
        </w:rPr>
      </w:pPr>
      <w:r>
        <w:rPr>
          <w:lang w:val="fr-FR"/>
        </w:rPr>
        <w:t>Vu l’inscription de ce référentiel au sein de la stratégie « Manger Demain » ;</w:t>
      </w:r>
    </w:p>
    <w:p w14:paraId="0377C54D" w14:textId="77777777" w:rsidR="00846274" w:rsidRPr="00846274" w:rsidRDefault="00E86FF1" w:rsidP="00CF4EA1">
      <w:pPr>
        <w:jc w:val="both"/>
        <w:rPr>
          <w:color w:val="FF0000"/>
          <w:lang w:val="fr-FR"/>
        </w:rPr>
      </w:pPr>
      <w:r>
        <w:rPr>
          <w:lang w:val="fr-FR"/>
        </w:rPr>
        <w:t xml:space="preserve">Vu l’adoption par le Gouvernement wallon de la stratégie « Manger Demain », vers un système alimentaire durable en </w:t>
      </w:r>
      <w:r w:rsidRPr="00FA4CBB">
        <w:rPr>
          <w:color w:val="000000" w:themeColor="text1"/>
          <w:lang w:val="fr-FR"/>
        </w:rPr>
        <w:t xml:space="preserve">Wallonie </w:t>
      </w:r>
      <w:r w:rsidR="00846274" w:rsidRPr="00FA4CBB">
        <w:rPr>
          <w:color w:val="000000" w:themeColor="text1"/>
          <w:lang w:val="fr-FR"/>
        </w:rPr>
        <w:t>le 30 novembre 2018</w:t>
      </w:r>
      <w:r w:rsidR="00103598">
        <w:rPr>
          <w:color w:val="000000" w:themeColor="text1"/>
          <w:lang w:val="fr-FR"/>
        </w:rPr>
        <w:t>, et en particulier sa mesure 8 et son annexe II</w:t>
      </w:r>
      <w:r w:rsidR="00846274" w:rsidRPr="00FA4CBB">
        <w:rPr>
          <w:color w:val="000000" w:themeColor="text1"/>
          <w:lang w:val="fr-FR"/>
        </w:rPr>
        <w:t> ;</w:t>
      </w:r>
    </w:p>
    <w:p w14:paraId="24D8BE0B" w14:textId="77777777" w:rsidR="00E86FF1" w:rsidRPr="00FA4CBB" w:rsidRDefault="00846274" w:rsidP="00CF4EA1">
      <w:pPr>
        <w:jc w:val="both"/>
        <w:rPr>
          <w:color w:val="000000" w:themeColor="text1"/>
          <w:lang w:val="fr-FR"/>
        </w:rPr>
      </w:pPr>
      <w:r w:rsidRPr="00FA4CBB">
        <w:rPr>
          <w:color w:val="000000" w:themeColor="text1"/>
          <w:lang w:val="fr-FR"/>
        </w:rPr>
        <w:t>Vu le vote à l’unanimité par le Parlement Wallon du décret du 2 mai 2019 modifiant le décret du 27 juin 2013</w:t>
      </w:r>
      <w:r w:rsidR="00103598">
        <w:rPr>
          <w:color w:val="000000" w:themeColor="text1"/>
          <w:lang w:val="fr-FR"/>
        </w:rPr>
        <w:t xml:space="preserve"> relatif à la stratégie wallonne de développement durable</w:t>
      </w:r>
      <w:r w:rsidRPr="00FA4CBB">
        <w:rPr>
          <w:color w:val="000000" w:themeColor="text1"/>
          <w:lang w:val="fr-FR"/>
        </w:rPr>
        <w:t> ;</w:t>
      </w:r>
    </w:p>
    <w:p w14:paraId="4731534D" w14:textId="77777777" w:rsidR="00E86FF1" w:rsidRDefault="00E86FF1" w:rsidP="00CF4EA1">
      <w:pPr>
        <w:jc w:val="both"/>
        <w:rPr>
          <w:lang w:val="fr-FR"/>
        </w:rPr>
      </w:pPr>
      <w:r>
        <w:rPr>
          <w:lang w:val="fr-FR"/>
        </w:rPr>
        <w:t>Il est proposé de mobiliser les acteurs de la restauration collective sur base d’une convention de transition écologique appelée « Green Deal – Cantines Durables ».</w:t>
      </w:r>
    </w:p>
    <w:p w14:paraId="4A55889A" w14:textId="77777777" w:rsidR="009C211A" w:rsidRDefault="009C211A">
      <w:pPr>
        <w:rPr>
          <w:lang w:val="fr-FR"/>
        </w:rPr>
        <w:sectPr w:rsidR="009C211A" w:rsidSect="00A37486">
          <w:pgSz w:w="11906" w:h="16838"/>
          <w:pgMar w:top="1276" w:right="1417" w:bottom="1417" w:left="1417" w:header="708" w:footer="708" w:gutter="0"/>
          <w:cols w:space="708"/>
          <w:docGrid w:linePitch="360"/>
        </w:sectPr>
      </w:pPr>
    </w:p>
    <w:p w14:paraId="4E665303" w14:textId="77777777" w:rsidR="00E86FF1" w:rsidRDefault="003F7A55" w:rsidP="00CF4EA1">
      <w:pPr>
        <w:pStyle w:val="Titre1"/>
        <w:jc w:val="both"/>
        <w:rPr>
          <w:lang w:val="fr-FR"/>
        </w:rPr>
      </w:pPr>
      <w:bookmarkStart w:id="1" w:name="_Toc27563292"/>
      <w:r>
        <w:rPr>
          <w:lang w:val="fr-FR"/>
        </w:rPr>
        <w:lastRenderedPageBreak/>
        <w:t xml:space="preserve">Article 1. </w:t>
      </w:r>
      <w:r w:rsidR="00451C43">
        <w:rPr>
          <w:lang w:val="fr-FR"/>
        </w:rPr>
        <w:t>OBJET</w:t>
      </w:r>
      <w:bookmarkEnd w:id="1"/>
    </w:p>
    <w:p w14:paraId="468B767A" w14:textId="77777777" w:rsidR="00451C43" w:rsidRDefault="00451C43" w:rsidP="00CF4EA1">
      <w:pPr>
        <w:jc w:val="both"/>
        <w:rPr>
          <w:lang w:val="fr-FR"/>
        </w:rPr>
      </w:pPr>
      <w:r>
        <w:rPr>
          <w:lang w:val="fr-FR"/>
        </w:rPr>
        <w:t>Le présent Green Deal porte sur l’alimentation pratiquée dans les cantines de collectivité situées en Wallonie.</w:t>
      </w:r>
    </w:p>
    <w:p w14:paraId="6F4CFEBC" w14:textId="77777777" w:rsidR="00451C43" w:rsidRDefault="00451C43" w:rsidP="00CF4EA1">
      <w:pPr>
        <w:jc w:val="both"/>
        <w:rPr>
          <w:lang w:val="fr-FR"/>
        </w:rPr>
      </w:pPr>
      <w:r>
        <w:rPr>
          <w:lang w:val="fr-FR"/>
        </w:rPr>
        <w:t>Il concerne les cantines de tous les milieux de vie : crèches, écoles, hautes écoles, universités, centre de sport et de loisirs, hôpitaux, maisons de repos, résidences-services, entreprises, administrations, prison, etc.</w:t>
      </w:r>
    </w:p>
    <w:p w14:paraId="77D55905" w14:textId="77777777" w:rsidR="00451C43" w:rsidRDefault="00451C43" w:rsidP="00CF4EA1">
      <w:pPr>
        <w:jc w:val="both"/>
        <w:rPr>
          <w:lang w:val="fr-FR"/>
        </w:rPr>
      </w:pPr>
      <w:r>
        <w:rPr>
          <w:lang w:val="fr-FR"/>
        </w:rPr>
        <w:t>Tous les types de cantines sont concernés, peu importe :</w:t>
      </w:r>
    </w:p>
    <w:p w14:paraId="4EC51638" w14:textId="77777777" w:rsidR="00451C43" w:rsidRDefault="00451C43" w:rsidP="00CF4EA1">
      <w:pPr>
        <w:pStyle w:val="Paragraphedeliste"/>
        <w:numPr>
          <w:ilvl w:val="0"/>
          <w:numId w:val="1"/>
        </w:numPr>
        <w:jc w:val="both"/>
        <w:rPr>
          <w:lang w:val="fr-FR"/>
        </w:rPr>
      </w:pPr>
      <w:r>
        <w:rPr>
          <w:lang w:val="fr-FR"/>
        </w:rPr>
        <w:t>Le type de gestion (autonome, concédée ou mixte) ;</w:t>
      </w:r>
    </w:p>
    <w:p w14:paraId="79F2307E" w14:textId="77777777" w:rsidR="00103598" w:rsidRDefault="00103598" w:rsidP="00CF4EA1">
      <w:pPr>
        <w:pStyle w:val="Paragraphedeliste"/>
        <w:numPr>
          <w:ilvl w:val="0"/>
          <w:numId w:val="1"/>
        </w:numPr>
        <w:jc w:val="both"/>
        <w:rPr>
          <w:lang w:val="fr-FR"/>
        </w:rPr>
      </w:pPr>
      <w:r>
        <w:rPr>
          <w:lang w:val="fr-FR"/>
        </w:rPr>
        <w:t>L’emplacement de la cuisine (interne ou externe) ;</w:t>
      </w:r>
    </w:p>
    <w:p w14:paraId="5B3B3CEB" w14:textId="77777777" w:rsidR="00451C43" w:rsidRDefault="00451C43" w:rsidP="00CF4EA1">
      <w:pPr>
        <w:pStyle w:val="Paragraphedeliste"/>
        <w:numPr>
          <w:ilvl w:val="0"/>
          <w:numId w:val="1"/>
        </w:numPr>
        <w:jc w:val="both"/>
        <w:rPr>
          <w:lang w:val="fr-FR"/>
        </w:rPr>
      </w:pPr>
      <w:r>
        <w:rPr>
          <w:lang w:val="fr-FR"/>
        </w:rPr>
        <w:t>Le type de services (repas chaud/froid, repas du midi/soir, etc.) ;</w:t>
      </w:r>
    </w:p>
    <w:p w14:paraId="0A9CF9FC" w14:textId="77777777" w:rsidR="00451C43" w:rsidRDefault="00451C43" w:rsidP="00CF4EA1">
      <w:pPr>
        <w:pStyle w:val="Paragraphedeliste"/>
        <w:numPr>
          <w:ilvl w:val="0"/>
          <w:numId w:val="1"/>
        </w:numPr>
        <w:jc w:val="both"/>
        <w:rPr>
          <w:lang w:val="fr-FR"/>
        </w:rPr>
      </w:pPr>
      <w:r>
        <w:rPr>
          <w:lang w:val="fr-FR"/>
        </w:rPr>
        <w:t>Le nombre de repas servis.</w:t>
      </w:r>
    </w:p>
    <w:p w14:paraId="432F00A1" w14:textId="77777777" w:rsidR="00451C43" w:rsidRDefault="00451C43" w:rsidP="00CF4EA1">
      <w:pPr>
        <w:jc w:val="both"/>
        <w:rPr>
          <w:lang w:val="fr-FR"/>
        </w:rPr>
      </w:pPr>
      <w:r>
        <w:rPr>
          <w:lang w:val="fr-FR"/>
        </w:rPr>
        <w:t>Par extension, il couvre également l’alimentation proposée sous forme de snacks et/ou sandwiches dans les collectivités, ainsi que lors d’évènements organisés par celles-ci (réunions, etc.).</w:t>
      </w:r>
    </w:p>
    <w:p w14:paraId="7D37F049" w14:textId="77777777" w:rsidR="00451C43" w:rsidRDefault="00451C43" w:rsidP="00CF4EA1">
      <w:pPr>
        <w:jc w:val="both"/>
        <w:rPr>
          <w:lang w:val="fr-FR"/>
        </w:rPr>
      </w:pPr>
      <w:r>
        <w:rPr>
          <w:lang w:val="fr-FR"/>
        </w:rPr>
        <w:t>Par contre, ce Green Deal ne concerne pas les restaurants, qui contrairement aux cantines ne s’adressent pas aux membres d’une collectivité mais aux particuliers considérés individuellement et de façon non récurrente. Cette exclusion ne concerne toutefois pas les restaurants sociaux qui s’adressent au même public de manière récurrente.</w:t>
      </w:r>
    </w:p>
    <w:p w14:paraId="660A0B84" w14:textId="77777777" w:rsidR="00451C43" w:rsidRDefault="003F7A55" w:rsidP="00CF4EA1">
      <w:pPr>
        <w:pStyle w:val="Titre1"/>
        <w:jc w:val="both"/>
        <w:rPr>
          <w:lang w:val="fr-FR"/>
        </w:rPr>
      </w:pPr>
      <w:bookmarkStart w:id="2" w:name="_Toc27563293"/>
      <w:r>
        <w:rPr>
          <w:lang w:val="fr-FR"/>
        </w:rPr>
        <w:t xml:space="preserve">Article 2. </w:t>
      </w:r>
      <w:r w:rsidR="00451C43">
        <w:rPr>
          <w:lang w:val="fr-FR"/>
        </w:rPr>
        <w:t>PARTIES IMPLIQUEES</w:t>
      </w:r>
      <w:bookmarkEnd w:id="2"/>
    </w:p>
    <w:p w14:paraId="2A68AF7B" w14:textId="77777777" w:rsidR="00451C43" w:rsidRDefault="00276EA8" w:rsidP="00CF4EA1">
      <w:pPr>
        <w:jc w:val="both"/>
        <w:rPr>
          <w:lang w:val="fr-FR"/>
        </w:rPr>
      </w:pPr>
      <w:r>
        <w:rPr>
          <w:lang w:val="fr-FR"/>
        </w:rPr>
        <w:t>Les parties impliquées dans ce Green Deal sont les suivantes :</w:t>
      </w:r>
    </w:p>
    <w:p w14:paraId="645D5F85" w14:textId="7137EE09" w:rsidR="005A6E9F" w:rsidRPr="005A6E9F" w:rsidRDefault="005A6E9F" w:rsidP="005A6E9F">
      <w:pPr>
        <w:pStyle w:val="Titre2"/>
      </w:pPr>
      <w:bookmarkStart w:id="3" w:name="_Toc27563294"/>
      <w:r>
        <w:t>Coordination et suivi</w:t>
      </w:r>
      <w:bookmarkEnd w:id="3"/>
      <w:r>
        <w:t xml:space="preserve"> </w:t>
      </w:r>
    </w:p>
    <w:p w14:paraId="4054E31C" w14:textId="6D264BD4" w:rsidR="005A6E9F" w:rsidRDefault="005A6E9F" w:rsidP="005A6E9F">
      <w:pPr>
        <w:jc w:val="both"/>
        <w:rPr>
          <w:lang w:val="fr-FR"/>
        </w:rPr>
      </w:pPr>
      <w:r>
        <w:t xml:space="preserve">La coordination et le suivi du Green Deal sont assurés par les parties coordinatrices, à savoir le Coordinateur et le Comité de Pilotage. Les ressources nécessaires à la bonne exécution de ces missions sont garanties sur la durée du Green Deal par le Ministre de l’Environnement et de la Transition écologique, </w:t>
      </w:r>
      <w:proofErr w:type="spellStart"/>
      <w:r>
        <w:t>co</w:t>
      </w:r>
      <w:proofErr w:type="spellEnd"/>
      <w:r>
        <w:t xml:space="preserve">-initiateur de ce Green Deal. </w:t>
      </w:r>
    </w:p>
    <w:p w14:paraId="0D20C413" w14:textId="02C4509A" w:rsidR="00276EA8" w:rsidRDefault="00276EA8" w:rsidP="00CF4EA1">
      <w:pPr>
        <w:pStyle w:val="Titre2"/>
        <w:jc w:val="both"/>
        <w:rPr>
          <w:lang w:val="fr-FR"/>
        </w:rPr>
      </w:pPr>
      <w:bookmarkStart w:id="4" w:name="_Toc27563295"/>
      <w:r w:rsidRPr="00276EA8">
        <w:rPr>
          <w:lang w:val="fr-FR"/>
        </w:rPr>
        <w:t xml:space="preserve">Les </w:t>
      </w:r>
      <w:r w:rsidR="00CF4EA1">
        <w:rPr>
          <w:lang w:val="fr-FR"/>
        </w:rPr>
        <w:t>signataires</w:t>
      </w:r>
      <w:bookmarkEnd w:id="4"/>
    </w:p>
    <w:p w14:paraId="3D0EBDD5" w14:textId="77777777" w:rsidR="00276EA8" w:rsidRDefault="00276EA8" w:rsidP="00CF4EA1">
      <w:pPr>
        <w:jc w:val="both"/>
        <w:rPr>
          <w:lang w:val="fr-FR"/>
        </w:rPr>
      </w:pPr>
      <w:r>
        <w:rPr>
          <w:lang w:val="fr-FR"/>
        </w:rPr>
        <w:t xml:space="preserve">Les </w:t>
      </w:r>
      <w:r w:rsidR="00CF4EA1">
        <w:rPr>
          <w:lang w:val="fr-FR"/>
        </w:rPr>
        <w:t>signataires</w:t>
      </w:r>
      <w:r>
        <w:rPr>
          <w:lang w:val="fr-FR"/>
        </w:rPr>
        <w:t xml:space="preserve"> sont les personnes physiques et morales qui adhèrent au Green Deal et s’engagent à mettre en œuvre les engagements repris dans le présent document, au titre d’une des catégories suivantes :</w:t>
      </w:r>
    </w:p>
    <w:p w14:paraId="79955F4E" w14:textId="77777777" w:rsidR="00276EA8" w:rsidRDefault="00276EA8" w:rsidP="00CF4EA1">
      <w:pPr>
        <w:pStyle w:val="Paragraphedeliste"/>
        <w:numPr>
          <w:ilvl w:val="0"/>
          <w:numId w:val="1"/>
        </w:numPr>
        <w:jc w:val="both"/>
        <w:rPr>
          <w:lang w:val="fr-FR"/>
        </w:rPr>
      </w:pPr>
      <w:r>
        <w:rPr>
          <w:lang w:val="fr-FR"/>
        </w:rPr>
        <w:t>Cantines : les personnes préparant les repas pour compte propre et pour compte de tiers, et les collectivités proposant des repas à leurs usagers : propriétaire et/ou gestionnaire d’une cantine, société de catering, cuisine centrale, etc.</w:t>
      </w:r>
    </w:p>
    <w:p w14:paraId="727625C0" w14:textId="77777777" w:rsidR="00276EA8" w:rsidRDefault="00276EA8" w:rsidP="00CF4EA1">
      <w:pPr>
        <w:pStyle w:val="Paragraphedeliste"/>
        <w:numPr>
          <w:ilvl w:val="0"/>
          <w:numId w:val="1"/>
        </w:numPr>
        <w:jc w:val="both"/>
        <w:rPr>
          <w:lang w:val="fr-FR"/>
        </w:rPr>
      </w:pPr>
      <w:r>
        <w:rPr>
          <w:lang w:val="fr-FR"/>
        </w:rPr>
        <w:t>Facilitateurs : les organismes dont les missions peuvent apporter un soutien direct à l’amélioration de l’alimentation en cantines de collectivité : administrations, organismes d’intérêt public, fédérations professionnelles, syndicats, centres d’études, associations, entreprises, producteurs, transformateurs, distributeurs, etc.</w:t>
      </w:r>
    </w:p>
    <w:p w14:paraId="39931EAD" w14:textId="77777777" w:rsidR="00276EA8" w:rsidRDefault="00276EA8" w:rsidP="00CF4EA1">
      <w:pPr>
        <w:pStyle w:val="Paragraphedeliste"/>
        <w:numPr>
          <w:ilvl w:val="0"/>
          <w:numId w:val="1"/>
        </w:numPr>
        <w:jc w:val="both"/>
        <w:rPr>
          <w:lang w:val="fr-FR"/>
        </w:rPr>
      </w:pPr>
      <w:r>
        <w:rPr>
          <w:lang w:val="fr-FR"/>
        </w:rPr>
        <w:t>Autorités politiques : les autorités politiques concernées par l’alimentation en collectivité aux différents niveaux de pouvoirs.</w:t>
      </w:r>
    </w:p>
    <w:p w14:paraId="5C0CAA4A" w14:textId="66D531C7" w:rsidR="00250215" w:rsidRDefault="00276EA8" w:rsidP="00CF4EA1">
      <w:pPr>
        <w:pStyle w:val="Titre2"/>
        <w:jc w:val="both"/>
        <w:rPr>
          <w:lang w:val="fr-FR"/>
        </w:rPr>
      </w:pPr>
      <w:bookmarkStart w:id="5" w:name="_Toc27563296"/>
      <w:r w:rsidRPr="00250215">
        <w:rPr>
          <w:lang w:val="fr-FR"/>
        </w:rPr>
        <w:t>La cellule Manger Demain</w:t>
      </w:r>
      <w:bookmarkEnd w:id="5"/>
    </w:p>
    <w:p w14:paraId="44C8E5E3" w14:textId="1BE3A006" w:rsidR="007D6E87" w:rsidRDefault="00250215" w:rsidP="00A03E4B">
      <w:pPr>
        <w:spacing w:after="0"/>
        <w:jc w:val="both"/>
        <w:rPr>
          <w:lang w:val="fr-FR"/>
        </w:rPr>
      </w:pPr>
      <w:r>
        <w:rPr>
          <w:lang w:val="fr-FR"/>
        </w:rPr>
        <w:t xml:space="preserve">Elle assure la </w:t>
      </w:r>
      <w:r w:rsidR="007D6E87">
        <w:rPr>
          <w:lang w:val="fr-FR"/>
        </w:rPr>
        <w:t>gestion opérationnelle</w:t>
      </w:r>
      <w:r>
        <w:rPr>
          <w:lang w:val="fr-FR"/>
        </w:rPr>
        <w:t xml:space="preserve"> du Green Deal.</w:t>
      </w:r>
      <w:r w:rsidR="00FE6038">
        <w:rPr>
          <w:lang w:val="fr-FR"/>
        </w:rPr>
        <w:t xml:space="preserve"> </w:t>
      </w:r>
    </w:p>
    <w:p w14:paraId="53694953" w14:textId="435BFD4A" w:rsidR="00A03E4B" w:rsidRPr="00250215" w:rsidRDefault="00FE6038" w:rsidP="00A03E4B">
      <w:pPr>
        <w:spacing w:after="0"/>
        <w:jc w:val="both"/>
        <w:rPr>
          <w:lang w:val="fr-FR"/>
        </w:rPr>
      </w:pPr>
      <w:proofErr w:type="spellStart"/>
      <w:proofErr w:type="gramStart"/>
      <w:r>
        <w:rPr>
          <w:lang w:val="fr-FR"/>
        </w:rPr>
        <w:t>Un</w:t>
      </w:r>
      <w:r w:rsidR="001228B6">
        <w:rPr>
          <w:lang w:val="fr-FR"/>
        </w:rPr>
        <w:t>.e</w:t>
      </w:r>
      <w:proofErr w:type="spellEnd"/>
      <w:proofErr w:type="gramEnd"/>
      <w:r w:rsidR="001228B6">
        <w:rPr>
          <w:lang w:val="fr-FR"/>
        </w:rPr>
        <w:t xml:space="preserve"> </w:t>
      </w:r>
      <w:proofErr w:type="spellStart"/>
      <w:r>
        <w:rPr>
          <w:lang w:val="fr-FR"/>
        </w:rPr>
        <w:t>coordinateu</w:t>
      </w:r>
      <w:r w:rsidR="001228B6">
        <w:rPr>
          <w:lang w:val="fr-FR"/>
        </w:rPr>
        <w:t>r.trice</w:t>
      </w:r>
      <w:proofErr w:type="spellEnd"/>
      <w:r>
        <w:rPr>
          <w:lang w:val="fr-FR"/>
        </w:rPr>
        <w:t xml:space="preserve"> du Green Deal est </w:t>
      </w:r>
      <w:proofErr w:type="spellStart"/>
      <w:r>
        <w:rPr>
          <w:lang w:val="fr-FR"/>
        </w:rPr>
        <w:t>désigné</w:t>
      </w:r>
      <w:r w:rsidR="001228B6">
        <w:rPr>
          <w:lang w:val="fr-FR"/>
        </w:rPr>
        <w:t>.e</w:t>
      </w:r>
      <w:proofErr w:type="spellEnd"/>
      <w:r>
        <w:rPr>
          <w:lang w:val="fr-FR"/>
        </w:rPr>
        <w:t xml:space="preserve"> au sein de la cellule </w:t>
      </w:r>
      <w:r w:rsidR="007D6E87">
        <w:rPr>
          <w:lang w:val="fr-FR"/>
        </w:rPr>
        <w:t>M</w:t>
      </w:r>
      <w:r>
        <w:rPr>
          <w:lang w:val="fr-FR"/>
        </w:rPr>
        <w:t xml:space="preserve">anger </w:t>
      </w:r>
      <w:r w:rsidR="007D6E87">
        <w:rPr>
          <w:lang w:val="fr-FR"/>
        </w:rPr>
        <w:t>D</w:t>
      </w:r>
      <w:r>
        <w:rPr>
          <w:lang w:val="fr-FR"/>
        </w:rPr>
        <w:t>emain.</w:t>
      </w:r>
    </w:p>
    <w:p w14:paraId="75C8D68F" w14:textId="77777777" w:rsidR="00250215" w:rsidRDefault="00250215" w:rsidP="00CF4EA1">
      <w:pPr>
        <w:pStyle w:val="Titre2"/>
        <w:jc w:val="both"/>
        <w:rPr>
          <w:lang w:val="fr-FR"/>
        </w:rPr>
      </w:pPr>
      <w:bookmarkStart w:id="6" w:name="_Toc27563297"/>
      <w:r w:rsidRPr="00250215">
        <w:rPr>
          <w:lang w:val="fr-FR"/>
        </w:rPr>
        <w:lastRenderedPageBreak/>
        <w:t>Le comité de pilotage</w:t>
      </w:r>
      <w:bookmarkEnd w:id="6"/>
    </w:p>
    <w:p w14:paraId="34DC14A0" w14:textId="3DB6E94D" w:rsidR="00250215" w:rsidRDefault="00250215" w:rsidP="00CF4EA1">
      <w:pPr>
        <w:jc w:val="both"/>
        <w:rPr>
          <w:lang w:val="fr-FR"/>
        </w:rPr>
      </w:pPr>
      <w:r>
        <w:rPr>
          <w:lang w:val="fr-FR"/>
        </w:rPr>
        <w:t xml:space="preserve">Il délibère sur les grandes orientations du Green Deal et </w:t>
      </w:r>
      <w:r w:rsidR="00103598">
        <w:rPr>
          <w:lang w:val="fr-FR"/>
        </w:rPr>
        <w:t>en assure le suivi</w:t>
      </w:r>
      <w:r w:rsidR="007D6E87">
        <w:rPr>
          <w:lang w:val="fr-FR"/>
        </w:rPr>
        <w:t xml:space="preserve"> sur base du travail réalisé par la cellule Manger Demain</w:t>
      </w:r>
      <w:r w:rsidR="00103598">
        <w:rPr>
          <w:lang w:val="fr-FR"/>
        </w:rPr>
        <w:t>.</w:t>
      </w:r>
    </w:p>
    <w:p w14:paraId="550A00B2" w14:textId="77777777" w:rsidR="00250215" w:rsidRDefault="003F7A55" w:rsidP="00CF4EA1">
      <w:pPr>
        <w:pStyle w:val="Titre1"/>
        <w:jc w:val="both"/>
        <w:rPr>
          <w:lang w:val="fr-FR"/>
        </w:rPr>
      </w:pPr>
      <w:bookmarkStart w:id="7" w:name="_Toc27563298"/>
      <w:r>
        <w:rPr>
          <w:lang w:val="fr-FR"/>
        </w:rPr>
        <w:t xml:space="preserve">Article 3. </w:t>
      </w:r>
      <w:r w:rsidR="00977BEC">
        <w:rPr>
          <w:lang w:val="fr-FR"/>
        </w:rPr>
        <w:t>OBJECTIFS GENERAUX ET SPECIFIQUES</w:t>
      </w:r>
      <w:bookmarkEnd w:id="7"/>
    </w:p>
    <w:p w14:paraId="7BC99A95" w14:textId="08E9B897" w:rsidR="00977BEC" w:rsidRDefault="00977BEC" w:rsidP="00CF4EA1">
      <w:pPr>
        <w:jc w:val="both"/>
        <w:rPr>
          <w:lang w:val="fr-FR"/>
        </w:rPr>
      </w:pPr>
      <w:r>
        <w:rPr>
          <w:lang w:val="fr-FR"/>
        </w:rPr>
        <w:t>L’objectif du Green Deal est d’augmenter de manière significative le nombre de cantines de collectivité menant une politique d’alimentation contribuant à la transition vers un système alimentaire durable en Wallonie. A ce titre, le Green Deal vise à recueillir l’engagement de plus d’un tiers de la restauration collective en Wallonie d’ici fin 2021, en termes de nombre de repas servis et de cantines impliquées.</w:t>
      </w:r>
    </w:p>
    <w:p w14:paraId="003C31E1" w14:textId="77777777" w:rsidR="00977BEC" w:rsidRDefault="00977BEC" w:rsidP="00CF4EA1">
      <w:pPr>
        <w:jc w:val="both"/>
        <w:rPr>
          <w:lang w:val="fr-FR"/>
        </w:rPr>
      </w:pPr>
      <w:r>
        <w:rPr>
          <w:lang w:val="fr-FR"/>
        </w:rPr>
        <w:t>Les objectifs environnementaux, sociaux et économiques poursuivis par ce Green Deal s’inscrivent dans les objectifs du référentiel « Vers un système alimentaire durable en Wallonie ».</w:t>
      </w:r>
    </w:p>
    <w:p w14:paraId="20524002" w14:textId="77777777" w:rsidR="00977BEC" w:rsidRDefault="00977BEC" w:rsidP="00CF4EA1">
      <w:pPr>
        <w:jc w:val="both"/>
        <w:rPr>
          <w:lang w:val="fr-FR"/>
        </w:rPr>
      </w:pPr>
      <w:r>
        <w:rPr>
          <w:lang w:val="fr-FR"/>
        </w:rPr>
        <w:t>Six axes sont ainsi définis :</w:t>
      </w:r>
    </w:p>
    <w:p w14:paraId="0E6E5A35" w14:textId="77777777" w:rsidR="00977BEC" w:rsidRDefault="00977BEC" w:rsidP="00CF4EA1">
      <w:pPr>
        <w:pStyle w:val="Paragraphedeliste"/>
        <w:numPr>
          <w:ilvl w:val="0"/>
          <w:numId w:val="2"/>
        </w:numPr>
        <w:jc w:val="both"/>
        <w:rPr>
          <w:lang w:val="fr-FR"/>
        </w:rPr>
      </w:pPr>
      <w:r w:rsidRPr="00977BEC">
        <w:rPr>
          <w:lang w:val="fr-FR"/>
        </w:rPr>
        <w:t>Des produits locaux et de saison</w:t>
      </w:r>
    </w:p>
    <w:p w14:paraId="3A875E13" w14:textId="77777777" w:rsidR="00977BEC" w:rsidRDefault="00977BEC" w:rsidP="00CF4EA1">
      <w:pPr>
        <w:pStyle w:val="Paragraphedeliste"/>
        <w:numPr>
          <w:ilvl w:val="0"/>
          <w:numId w:val="2"/>
        </w:numPr>
        <w:jc w:val="both"/>
        <w:rPr>
          <w:lang w:val="fr-FR"/>
        </w:rPr>
      </w:pPr>
      <w:r>
        <w:rPr>
          <w:lang w:val="fr-FR"/>
        </w:rPr>
        <w:t>Des produits respectueux de l’environnement et des animaux</w:t>
      </w:r>
    </w:p>
    <w:p w14:paraId="7630C8EE" w14:textId="77777777" w:rsidR="00977BEC" w:rsidRDefault="00977BEC" w:rsidP="00CF4EA1">
      <w:pPr>
        <w:pStyle w:val="Paragraphedeliste"/>
        <w:numPr>
          <w:ilvl w:val="0"/>
          <w:numId w:val="2"/>
        </w:numPr>
        <w:jc w:val="both"/>
        <w:rPr>
          <w:lang w:val="fr-FR"/>
        </w:rPr>
      </w:pPr>
      <w:r>
        <w:rPr>
          <w:lang w:val="fr-FR"/>
        </w:rPr>
        <w:t>Des produits équitables</w:t>
      </w:r>
    </w:p>
    <w:p w14:paraId="48993DFC" w14:textId="77777777" w:rsidR="00977BEC" w:rsidRDefault="00977BEC" w:rsidP="00CF4EA1">
      <w:pPr>
        <w:pStyle w:val="Paragraphedeliste"/>
        <w:numPr>
          <w:ilvl w:val="0"/>
          <w:numId w:val="2"/>
        </w:numPr>
        <w:jc w:val="both"/>
        <w:rPr>
          <w:lang w:val="fr-FR"/>
        </w:rPr>
      </w:pPr>
      <w:r>
        <w:rPr>
          <w:lang w:val="fr-FR"/>
        </w:rPr>
        <w:t>Des repas sains, équilibrés et savoureux</w:t>
      </w:r>
    </w:p>
    <w:p w14:paraId="39EBB933" w14:textId="77777777" w:rsidR="00977BEC" w:rsidRDefault="00977BEC" w:rsidP="00CF4EA1">
      <w:pPr>
        <w:pStyle w:val="Paragraphedeliste"/>
        <w:numPr>
          <w:ilvl w:val="0"/>
          <w:numId w:val="2"/>
        </w:numPr>
        <w:jc w:val="both"/>
        <w:rPr>
          <w:lang w:val="fr-FR"/>
        </w:rPr>
      </w:pPr>
      <w:r>
        <w:rPr>
          <w:lang w:val="fr-FR"/>
        </w:rPr>
        <w:t>La réduction du gaspillage alimentaire et des déchets</w:t>
      </w:r>
    </w:p>
    <w:p w14:paraId="232CAC66" w14:textId="77777777" w:rsidR="00977BEC" w:rsidRDefault="00977BEC" w:rsidP="00CF4EA1">
      <w:pPr>
        <w:pStyle w:val="Paragraphedeliste"/>
        <w:numPr>
          <w:ilvl w:val="0"/>
          <w:numId w:val="2"/>
        </w:numPr>
        <w:jc w:val="both"/>
        <w:rPr>
          <w:lang w:val="fr-FR"/>
        </w:rPr>
      </w:pPr>
      <w:r>
        <w:rPr>
          <w:lang w:val="fr-FR"/>
        </w:rPr>
        <w:t>L’inclusion sociale</w:t>
      </w:r>
    </w:p>
    <w:p w14:paraId="564F531F" w14:textId="77777777" w:rsidR="00A26465" w:rsidRDefault="003F7A55" w:rsidP="00CF4EA1">
      <w:pPr>
        <w:pStyle w:val="Titre1"/>
        <w:jc w:val="both"/>
        <w:rPr>
          <w:lang w:val="fr-FR"/>
        </w:rPr>
      </w:pPr>
      <w:bookmarkStart w:id="8" w:name="_Toc27563299"/>
      <w:r>
        <w:rPr>
          <w:lang w:val="fr-FR"/>
        </w:rPr>
        <w:t xml:space="preserve">Article 4. </w:t>
      </w:r>
      <w:r w:rsidR="00A26465">
        <w:rPr>
          <w:lang w:val="fr-FR"/>
        </w:rPr>
        <w:t>ENGAGEMENTS DES SIGNATAIRES</w:t>
      </w:r>
      <w:bookmarkEnd w:id="8"/>
    </w:p>
    <w:p w14:paraId="3C34BCE1" w14:textId="77777777" w:rsidR="00A26465" w:rsidRDefault="00A26465" w:rsidP="00CF4EA1">
      <w:pPr>
        <w:jc w:val="both"/>
        <w:rPr>
          <w:lang w:val="fr-FR"/>
        </w:rPr>
      </w:pPr>
      <w:r>
        <w:rPr>
          <w:lang w:val="fr-FR"/>
        </w:rPr>
        <w:t xml:space="preserve">Par leur signature, les parties s’engagent à mettre en œuvre diverses mesures </w:t>
      </w:r>
      <w:r w:rsidR="008D223D">
        <w:rPr>
          <w:lang w:val="fr-FR"/>
        </w:rPr>
        <w:t xml:space="preserve">en </w:t>
      </w:r>
      <w:r>
        <w:rPr>
          <w:lang w:val="fr-FR"/>
        </w:rPr>
        <w:t xml:space="preserve">faveur de la transition vers un système alimentaire plus durable dans les </w:t>
      </w:r>
      <w:r w:rsidR="008D223D">
        <w:rPr>
          <w:lang w:val="fr-FR"/>
        </w:rPr>
        <w:t>cuisines</w:t>
      </w:r>
      <w:r>
        <w:rPr>
          <w:lang w:val="fr-FR"/>
        </w:rPr>
        <w:t xml:space="preserve"> de collectivité. </w:t>
      </w:r>
    </w:p>
    <w:p w14:paraId="4E3EDDCD" w14:textId="7DD60DA1" w:rsidR="00A26465" w:rsidRDefault="00FA4CBB" w:rsidP="00CF4EA1">
      <w:pPr>
        <w:jc w:val="both"/>
        <w:rPr>
          <w:lang w:val="fr-FR"/>
        </w:rPr>
      </w:pPr>
      <w:r>
        <w:rPr>
          <w:lang w:val="fr-FR"/>
        </w:rPr>
        <w:t>C</w:t>
      </w:r>
      <w:r w:rsidR="00A26465">
        <w:rPr>
          <w:lang w:val="fr-FR"/>
        </w:rPr>
        <w:t>haque partie choisit les engagements spécifiques qu’elle souhaite développer</w:t>
      </w:r>
      <w:r>
        <w:rPr>
          <w:lang w:val="fr-FR"/>
        </w:rPr>
        <w:t>,</w:t>
      </w:r>
      <w:r w:rsidR="00A26465">
        <w:rPr>
          <w:lang w:val="fr-FR"/>
        </w:rPr>
        <w:t xml:space="preserve"> en fonction de ses réalités et préoccupations.</w:t>
      </w:r>
      <w:r>
        <w:rPr>
          <w:lang w:val="fr-FR"/>
        </w:rPr>
        <w:t xml:space="preserve"> Ces engagements sont rendus publics </w:t>
      </w:r>
      <w:r w:rsidR="00ED7CD8">
        <w:rPr>
          <w:lang w:val="fr-FR"/>
        </w:rPr>
        <w:t>via notamment</w:t>
      </w:r>
      <w:r>
        <w:rPr>
          <w:lang w:val="fr-FR"/>
        </w:rPr>
        <w:t xml:space="preserve"> le site internet dédié au Green Deal.</w:t>
      </w:r>
    </w:p>
    <w:p w14:paraId="5CCFE80C" w14:textId="2EF987CE" w:rsidR="00A26465" w:rsidRDefault="00A26465" w:rsidP="00CF4EA1">
      <w:pPr>
        <w:jc w:val="both"/>
        <w:rPr>
          <w:lang w:val="fr-FR"/>
        </w:rPr>
      </w:pPr>
      <w:r>
        <w:rPr>
          <w:lang w:val="fr-FR"/>
        </w:rPr>
        <w:t xml:space="preserve">Un guide pratique concernant la rédaction des engagements est disponible sur le site web </w:t>
      </w:r>
      <w:hyperlink r:id="rId16" w:history="1">
        <w:r w:rsidRPr="00282913">
          <w:rPr>
            <w:rStyle w:val="Lienhypertexte"/>
            <w:lang w:val="fr-FR"/>
          </w:rPr>
          <w:t>www.greendealcantines.be</w:t>
        </w:r>
      </w:hyperlink>
      <w:r>
        <w:rPr>
          <w:lang w:val="fr-FR"/>
        </w:rPr>
        <w:t>, dans chaque rubrique de signataires.</w:t>
      </w:r>
    </w:p>
    <w:p w14:paraId="2F0607C0" w14:textId="77777777" w:rsidR="0039688C" w:rsidRDefault="0039688C" w:rsidP="00CF4EA1">
      <w:pPr>
        <w:pStyle w:val="Titre2"/>
        <w:jc w:val="both"/>
        <w:rPr>
          <w:lang w:val="fr-FR"/>
        </w:rPr>
      </w:pPr>
      <w:bookmarkStart w:id="9" w:name="_Toc27563300"/>
      <w:r w:rsidRPr="0039688C">
        <w:rPr>
          <w:lang w:val="fr-FR"/>
        </w:rPr>
        <w:t>Engagements généraux</w:t>
      </w:r>
      <w:bookmarkEnd w:id="9"/>
    </w:p>
    <w:p w14:paraId="1564201A" w14:textId="77777777" w:rsidR="0039688C" w:rsidRPr="00FA4CBB" w:rsidRDefault="0039688C" w:rsidP="00CF4EA1">
      <w:pPr>
        <w:pStyle w:val="Paragraphedeliste"/>
        <w:numPr>
          <w:ilvl w:val="0"/>
          <w:numId w:val="6"/>
        </w:numPr>
        <w:spacing w:after="0"/>
        <w:jc w:val="both"/>
        <w:rPr>
          <w:b/>
          <w:bCs/>
          <w:lang w:val="fr-FR"/>
        </w:rPr>
      </w:pPr>
      <w:r w:rsidRPr="00FA4CBB">
        <w:rPr>
          <w:b/>
          <w:bCs/>
          <w:lang w:val="fr-FR"/>
        </w:rPr>
        <w:t>Communiquer sur le Green Deal, ses engagements et ses projets « Cantines durables »</w:t>
      </w:r>
    </w:p>
    <w:p w14:paraId="3D3046A2" w14:textId="77777777" w:rsidR="0039688C" w:rsidRDefault="0039688C" w:rsidP="00CF4EA1">
      <w:pPr>
        <w:spacing w:after="0"/>
        <w:ind w:left="720"/>
        <w:jc w:val="both"/>
        <w:rPr>
          <w:lang w:val="fr-FR"/>
        </w:rPr>
      </w:pPr>
      <w:r>
        <w:rPr>
          <w:lang w:val="fr-FR"/>
        </w:rPr>
        <w:t>Concernant ses engagements et ses projets en lien avec le Green Deal :</w:t>
      </w:r>
    </w:p>
    <w:p w14:paraId="00128FBE" w14:textId="77777777" w:rsidR="0039688C" w:rsidRDefault="0039688C" w:rsidP="00CF4EA1">
      <w:pPr>
        <w:pStyle w:val="Paragraphedeliste"/>
        <w:numPr>
          <w:ilvl w:val="0"/>
          <w:numId w:val="8"/>
        </w:numPr>
        <w:jc w:val="both"/>
        <w:rPr>
          <w:lang w:val="fr-FR"/>
        </w:rPr>
      </w:pPr>
      <w:r>
        <w:rPr>
          <w:lang w:val="fr-FR"/>
        </w:rPr>
        <w:t>Via ses propres canaux de communication : site internet, newsletters, affiches, évènements…</w:t>
      </w:r>
    </w:p>
    <w:p w14:paraId="63212C29" w14:textId="77777777" w:rsidR="0039688C" w:rsidRDefault="0039688C" w:rsidP="00CF4EA1">
      <w:pPr>
        <w:pStyle w:val="Paragraphedeliste"/>
        <w:numPr>
          <w:ilvl w:val="0"/>
          <w:numId w:val="8"/>
        </w:numPr>
        <w:spacing w:after="0"/>
        <w:jc w:val="both"/>
        <w:rPr>
          <w:lang w:val="fr-FR"/>
        </w:rPr>
      </w:pPr>
      <w:r>
        <w:rPr>
          <w:lang w:val="fr-FR"/>
        </w:rPr>
        <w:t>Via le réseau du Green Deal : présentation des projets sur la page « signataires » du site internet, contribution à la newsletter, …</w:t>
      </w:r>
    </w:p>
    <w:p w14:paraId="0AA80D52" w14:textId="77777777" w:rsidR="0039688C" w:rsidRDefault="0039688C" w:rsidP="00CF4EA1">
      <w:pPr>
        <w:spacing w:after="0"/>
        <w:ind w:left="708"/>
        <w:jc w:val="both"/>
        <w:rPr>
          <w:lang w:val="fr-FR"/>
        </w:rPr>
      </w:pPr>
      <w:r>
        <w:rPr>
          <w:lang w:val="fr-FR"/>
        </w:rPr>
        <w:t>Concernant l’expérience acquise dans le cadre du Green Deal, être disponible pour partager avec la communauté Green Deal : journée de rencontre annuelle, groupe de travail, partage d’outils, …</w:t>
      </w:r>
    </w:p>
    <w:p w14:paraId="6C13BD88" w14:textId="77777777" w:rsidR="00FA4CBB" w:rsidRDefault="00FA4CBB" w:rsidP="00CF4EA1">
      <w:pPr>
        <w:spacing w:after="0"/>
        <w:ind w:left="708"/>
        <w:jc w:val="both"/>
        <w:rPr>
          <w:lang w:val="fr-FR"/>
        </w:rPr>
      </w:pPr>
    </w:p>
    <w:p w14:paraId="4C5AF3D4" w14:textId="77777777" w:rsidR="0039688C" w:rsidRPr="00FA4CBB" w:rsidRDefault="0039688C" w:rsidP="00CF4EA1">
      <w:pPr>
        <w:pStyle w:val="Paragraphedeliste"/>
        <w:numPr>
          <w:ilvl w:val="0"/>
          <w:numId w:val="6"/>
        </w:numPr>
        <w:spacing w:after="0"/>
        <w:jc w:val="both"/>
        <w:rPr>
          <w:b/>
          <w:bCs/>
          <w:lang w:val="fr-FR"/>
        </w:rPr>
      </w:pPr>
      <w:r w:rsidRPr="00FA4CBB">
        <w:rPr>
          <w:b/>
          <w:bCs/>
          <w:lang w:val="fr-FR"/>
        </w:rPr>
        <w:t>Coopérer concernant les évaluations du Green Deal</w:t>
      </w:r>
    </w:p>
    <w:p w14:paraId="5848FBBC" w14:textId="77777777" w:rsidR="0039688C" w:rsidRDefault="0039688C" w:rsidP="00CF4EA1">
      <w:pPr>
        <w:spacing w:after="0"/>
        <w:ind w:left="720"/>
        <w:jc w:val="both"/>
        <w:rPr>
          <w:lang w:val="fr-FR"/>
        </w:rPr>
      </w:pPr>
      <w:r>
        <w:rPr>
          <w:lang w:val="fr-FR"/>
        </w:rPr>
        <w:t>Il s’agit notamment de compléter et de transmettre à la coordinatrice :</w:t>
      </w:r>
    </w:p>
    <w:p w14:paraId="02EE2E79" w14:textId="77777777" w:rsidR="0039688C" w:rsidRDefault="0039688C" w:rsidP="00CF4EA1">
      <w:pPr>
        <w:pStyle w:val="Paragraphedeliste"/>
        <w:numPr>
          <w:ilvl w:val="0"/>
          <w:numId w:val="9"/>
        </w:numPr>
        <w:jc w:val="both"/>
        <w:rPr>
          <w:lang w:val="fr-FR"/>
        </w:rPr>
      </w:pPr>
      <w:r>
        <w:rPr>
          <w:lang w:val="fr-FR"/>
        </w:rPr>
        <w:t>Une fiche projet initiale ;</w:t>
      </w:r>
    </w:p>
    <w:p w14:paraId="06797CE7" w14:textId="77777777" w:rsidR="0039688C" w:rsidRDefault="0039688C" w:rsidP="00CF4EA1">
      <w:pPr>
        <w:pStyle w:val="Paragraphedeliste"/>
        <w:numPr>
          <w:ilvl w:val="0"/>
          <w:numId w:val="9"/>
        </w:numPr>
        <w:jc w:val="both"/>
        <w:rPr>
          <w:lang w:val="fr-FR"/>
        </w:rPr>
      </w:pPr>
      <w:r>
        <w:rPr>
          <w:lang w:val="fr-FR"/>
        </w:rPr>
        <w:t>Une feuille de route annuelle décrivant brièvement les avancées enregistrées vis-à-vis des engagements pris (actions menées, résultats, …).</w:t>
      </w:r>
    </w:p>
    <w:p w14:paraId="7DB94C16" w14:textId="77777777" w:rsidR="0039688C" w:rsidRDefault="0039688C" w:rsidP="00CF4EA1">
      <w:pPr>
        <w:pStyle w:val="Paragraphedeliste"/>
        <w:ind w:left="1440"/>
        <w:jc w:val="both"/>
        <w:rPr>
          <w:lang w:val="fr-FR"/>
        </w:rPr>
      </w:pPr>
    </w:p>
    <w:p w14:paraId="48A8D23B" w14:textId="77777777" w:rsidR="0039688C" w:rsidRPr="00FA4CBB" w:rsidRDefault="0039688C" w:rsidP="00CF4EA1">
      <w:pPr>
        <w:pStyle w:val="Paragraphedeliste"/>
        <w:numPr>
          <w:ilvl w:val="0"/>
          <w:numId w:val="6"/>
        </w:numPr>
        <w:jc w:val="both"/>
        <w:rPr>
          <w:b/>
          <w:bCs/>
          <w:lang w:val="fr-FR"/>
        </w:rPr>
      </w:pPr>
      <w:r w:rsidRPr="00FA4CBB">
        <w:rPr>
          <w:b/>
          <w:bCs/>
          <w:lang w:val="fr-FR"/>
        </w:rPr>
        <w:lastRenderedPageBreak/>
        <w:t>Partager les données essentielles pouvant faciliter la connaissance de l’offre et de la demande en produits et services</w:t>
      </w:r>
    </w:p>
    <w:p w14:paraId="0F9601DF" w14:textId="77777777" w:rsidR="0039688C" w:rsidRDefault="0039688C" w:rsidP="00CF4EA1">
      <w:pPr>
        <w:pStyle w:val="Titre2"/>
        <w:jc w:val="both"/>
        <w:rPr>
          <w:lang w:val="fr-FR"/>
        </w:rPr>
      </w:pPr>
      <w:bookmarkStart w:id="10" w:name="_Toc27563301"/>
      <w:r w:rsidRPr="0039688C">
        <w:rPr>
          <w:lang w:val="fr-FR"/>
        </w:rPr>
        <w:t>Engagements spécifiques</w:t>
      </w:r>
      <w:bookmarkEnd w:id="10"/>
    </w:p>
    <w:p w14:paraId="08D272B9" w14:textId="77777777" w:rsidR="0039688C" w:rsidRPr="00FA4CBB" w:rsidRDefault="0039688C" w:rsidP="00CF4EA1">
      <w:pPr>
        <w:pStyle w:val="Paragraphedeliste"/>
        <w:numPr>
          <w:ilvl w:val="0"/>
          <w:numId w:val="10"/>
        </w:numPr>
        <w:jc w:val="both"/>
        <w:rPr>
          <w:b/>
          <w:bCs/>
          <w:lang w:val="fr-FR"/>
        </w:rPr>
      </w:pPr>
      <w:r w:rsidRPr="00FA4CBB">
        <w:rPr>
          <w:b/>
          <w:bCs/>
          <w:lang w:val="fr-FR"/>
        </w:rPr>
        <w:t>Mener des actions pérennes selon les 6 axes de travail du Green Deal</w:t>
      </w:r>
    </w:p>
    <w:p w14:paraId="0C87EB37" w14:textId="77777777" w:rsidR="0039688C" w:rsidRDefault="0039688C" w:rsidP="00CF4EA1">
      <w:pPr>
        <w:pStyle w:val="Paragraphedeliste"/>
        <w:numPr>
          <w:ilvl w:val="0"/>
          <w:numId w:val="11"/>
        </w:numPr>
        <w:jc w:val="both"/>
        <w:rPr>
          <w:lang w:val="fr-FR"/>
        </w:rPr>
      </w:pPr>
      <w:r w:rsidRPr="00FA4CBB">
        <w:rPr>
          <w:u w:val="single"/>
          <w:lang w:val="fr-FR"/>
        </w:rPr>
        <w:t>Pour les cantines</w:t>
      </w:r>
      <w:r>
        <w:rPr>
          <w:lang w:val="fr-FR"/>
        </w:rPr>
        <w:t> : mener au minimum 1 nouvelle action pérenne dans chacun des axes de travail, soit au minimum 6 actions.</w:t>
      </w:r>
    </w:p>
    <w:p w14:paraId="555765CF" w14:textId="17D5D1E7" w:rsidR="0039688C" w:rsidRDefault="0039688C" w:rsidP="00CF4EA1">
      <w:pPr>
        <w:pStyle w:val="Paragraphedeliste"/>
        <w:numPr>
          <w:ilvl w:val="0"/>
          <w:numId w:val="11"/>
        </w:numPr>
        <w:jc w:val="both"/>
        <w:rPr>
          <w:lang w:val="fr-FR"/>
        </w:rPr>
      </w:pPr>
      <w:r w:rsidRPr="00FA4CBB">
        <w:rPr>
          <w:u w:val="single"/>
          <w:lang w:val="fr-FR"/>
        </w:rPr>
        <w:t>Pour les facilitateurs</w:t>
      </w:r>
      <w:r>
        <w:rPr>
          <w:lang w:val="fr-FR"/>
        </w:rPr>
        <w:t> : mener</w:t>
      </w:r>
      <w:r w:rsidR="00ED7CD8">
        <w:rPr>
          <w:lang w:val="fr-FR"/>
        </w:rPr>
        <w:t>,</w:t>
      </w:r>
      <w:r>
        <w:rPr>
          <w:lang w:val="fr-FR"/>
        </w:rPr>
        <w:t xml:space="preserve"> dans au minimum 2 des 6 axes de travail, 1 nouvelle action pérenne dans chacun de ces axes, soit minimum 2 actions.</w:t>
      </w:r>
    </w:p>
    <w:p w14:paraId="14E9A552" w14:textId="00E23A80" w:rsidR="002844C8" w:rsidRPr="002844C8" w:rsidRDefault="0039688C" w:rsidP="00CF4EA1">
      <w:pPr>
        <w:pStyle w:val="Paragraphedeliste"/>
        <w:numPr>
          <w:ilvl w:val="0"/>
          <w:numId w:val="11"/>
        </w:numPr>
        <w:jc w:val="both"/>
        <w:rPr>
          <w:lang w:val="fr-FR"/>
        </w:rPr>
      </w:pPr>
      <w:r w:rsidRPr="00FA4CBB">
        <w:rPr>
          <w:u w:val="single"/>
          <w:lang w:val="fr-FR"/>
        </w:rPr>
        <w:t>Pour les autorités politiques</w:t>
      </w:r>
      <w:r>
        <w:rPr>
          <w:lang w:val="fr-FR"/>
        </w:rPr>
        <w:t> : mener</w:t>
      </w:r>
      <w:r w:rsidR="00ED7CD8">
        <w:rPr>
          <w:lang w:val="fr-FR"/>
        </w:rPr>
        <w:t>,</w:t>
      </w:r>
      <w:r>
        <w:rPr>
          <w:lang w:val="fr-FR"/>
        </w:rPr>
        <w:t xml:space="preserve"> dans au minimum 2 des 6 axes de travail, 1 nouvelle action pérenne dans chacun de ces axes, soit minimum 2 actions.</w:t>
      </w:r>
    </w:p>
    <w:p w14:paraId="6277FC93" w14:textId="0BA6D19D" w:rsidR="002844C8" w:rsidRDefault="002844C8" w:rsidP="00CF4EA1">
      <w:pPr>
        <w:ind w:left="708"/>
        <w:jc w:val="both"/>
        <w:rPr>
          <w:lang w:val="fr-FR"/>
        </w:rPr>
      </w:pPr>
      <w:r>
        <w:rPr>
          <w:lang w:val="fr-FR"/>
        </w:rPr>
        <w:t>Par action pérenne, il faut entendre des actions menées en continu, par exemple, une fois par semaine ou plusieurs fois par mois. Il s’agit d’actions qui perdureront au-delà d</w:t>
      </w:r>
      <w:r w:rsidR="00ED7CD8">
        <w:rPr>
          <w:lang w:val="fr-FR"/>
        </w:rPr>
        <w:t>e la durée du Green Deal – Cantines durables</w:t>
      </w:r>
      <w:r>
        <w:rPr>
          <w:lang w:val="fr-FR"/>
        </w:rPr>
        <w:t>.</w:t>
      </w:r>
    </w:p>
    <w:p w14:paraId="30217FAD" w14:textId="77777777" w:rsidR="002844C8" w:rsidRDefault="002844C8" w:rsidP="00CF4EA1">
      <w:pPr>
        <w:ind w:left="708"/>
        <w:jc w:val="both"/>
        <w:rPr>
          <w:lang w:val="fr-FR"/>
        </w:rPr>
      </w:pPr>
      <w:r>
        <w:rPr>
          <w:lang w:val="fr-FR"/>
        </w:rPr>
        <w:t>Dans la mise en œuvre de leurs actions, les cantines utilisent tant que possible les outils de référence identifiés par le Green Deal (disponibles sur le site internet du Green Deal).</w:t>
      </w:r>
    </w:p>
    <w:p w14:paraId="102BD562" w14:textId="77777777" w:rsidR="002844C8" w:rsidRDefault="002844C8" w:rsidP="00CF4EA1">
      <w:pPr>
        <w:ind w:left="708"/>
        <w:jc w:val="both"/>
        <w:rPr>
          <w:lang w:val="fr-FR"/>
        </w:rPr>
      </w:pPr>
      <w:r>
        <w:rPr>
          <w:lang w:val="fr-FR"/>
        </w:rPr>
        <w:t>Les engagements et actions définis peuvent être adaptés à chaque évaluation annuelle avec l’aide des chargés de mission territoriale de la cellule Manger Demain.</w:t>
      </w:r>
    </w:p>
    <w:p w14:paraId="2E484E31" w14:textId="5152529E" w:rsidR="003F57AC" w:rsidRDefault="003F57AC" w:rsidP="003F57AC">
      <w:pPr>
        <w:pStyle w:val="Titre1"/>
        <w:jc w:val="both"/>
        <w:rPr>
          <w:lang w:val="fr-FR"/>
        </w:rPr>
      </w:pPr>
      <w:bookmarkStart w:id="11" w:name="_Toc27563302"/>
      <w:r>
        <w:rPr>
          <w:lang w:val="fr-FR"/>
        </w:rPr>
        <w:t xml:space="preserve">Article 5. DUREE </w:t>
      </w:r>
      <w:r w:rsidR="004E6906">
        <w:rPr>
          <w:lang w:val="fr-FR"/>
        </w:rPr>
        <w:t>DE LA CONVENTION</w:t>
      </w:r>
      <w:bookmarkEnd w:id="11"/>
    </w:p>
    <w:p w14:paraId="15EFDEF0" w14:textId="2FDAAEC4" w:rsidR="003F57AC" w:rsidRDefault="003F57AC" w:rsidP="003F57AC">
      <w:pPr>
        <w:rPr>
          <w:lang w:val="fr-FR"/>
        </w:rPr>
      </w:pPr>
      <w:r>
        <w:rPr>
          <w:lang w:val="fr-FR"/>
        </w:rPr>
        <w:t>La</w:t>
      </w:r>
      <w:r w:rsidR="004E6906">
        <w:rPr>
          <w:lang w:val="fr-FR"/>
        </w:rPr>
        <w:t>dite</w:t>
      </w:r>
      <w:r>
        <w:rPr>
          <w:lang w:val="fr-FR"/>
        </w:rPr>
        <w:t xml:space="preserve"> convention débute le 7 février 2020 </w:t>
      </w:r>
      <w:r w:rsidR="00ED7CD8">
        <w:rPr>
          <w:lang w:val="fr-FR"/>
        </w:rPr>
        <w:t>pour se clôturer</w:t>
      </w:r>
      <w:r w:rsidR="004E6906">
        <w:rPr>
          <w:lang w:val="fr-FR"/>
        </w:rPr>
        <w:t xml:space="preserve"> </w:t>
      </w:r>
      <w:r>
        <w:rPr>
          <w:lang w:val="fr-FR"/>
        </w:rPr>
        <w:t>3 ans plus tard.</w:t>
      </w:r>
    </w:p>
    <w:p w14:paraId="2E1A5BEA" w14:textId="59EBBDF5" w:rsidR="003F7A55" w:rsidRDefault="003F7A55" w:rsidP="00CF4EA1">
      <w:pPr>
        <w:pStyle w:val="Titre1"/>
        <w:jc w:val="both"/>
        <w:rPr>
          <w:lang w:val="fr-FR"/>
        </w:rPr>
      </w:pPr>
      <w:bookmarkStart w:id="12" w:name="_Toc27563303"/>
      <w:r>
        <w:rPr>
          <w:lang w:val="fr-FR"/>
        </w:rPr>
        <w:t xml:space="preserve">Article </w:t>
      </w:r>
      <w:r w:rsidR="003F57AC">
        <w:rPr>
          <w:lang w:val="fr-FR"/>
        </w:rPr>
        <w:t>6</w:t>
      </w:r>
      <w:r>
        <w:rPr>
          <w:lang w:val="fr-FR"/>
        </w:rPr>
        <w:t xml:space="preserve">. </w:t>
      </w:r>
      <w:r w:rsidR="00990C6B">
        <w:rPr>
          <w:lang w:val="fr-FR"/>
        </w:rPr>
        <w:t>ADHESION, EXCLUSION ET RETRAIT</w:t>
      </w:r>
      <w:bookmarkEnd w:id="12"/>
    </w:p>
    <w:p w14:paraId="4444F07B" w14:textId="77777777" w:rsidR="00990C6B" w:rsidRDefault="00CF4EA1" w:rsidP="00CF4EA1">
      <w:pPr>
        <w:pStyle w:val="Titre2"/>
        <w:jc w:val="both"/>
        <w:rPr>
          <w:lang w:val="fr-FR"/>
        </w:rPr>
      </w:pPr>
      <w:bookmarkStart w:id="13" w:name="_Toc27563304"/>
      <w:r>
        <w:rPr>
          <w:lang w:val="fr-FR"/>
        </w:rPr>
        <w:t>A</w:t>
      </w:r>
      <w:r w:rsidR="00990C6B">
        <w:rPr>
          <w:lang w:val="fr-FR"/>
        </w:rPr>
        <w:t>dhésion</w:t>
      </w:r>
      <w:bookmarkEnd w:id="13"/>
    </w:p>
    <w:p w14:paraId="23CA7BAC" w14:textId="77777777" w:rsidR="00990C6B" w:rsidRDefault="00990C6B" w:rsidP="00CF4EA1">
      <w:pPr>
        <w:jc w:val="both"/>
        <w:rPr>
          <w:lang w:val="fr-FR"/>
        </w:rPr>
      </w:pPr>
      <w:r>
        <w:rPr>
          <w:lang w:val="fr-FR"/>
        </w:rPr>
        <w:t xml:space="preserve">Pour adhérer au Green Deal, il est </w:t>
      </w:r>
      <w:r w:rsidRPr="007F0E6E">
        <w:rPr>
          <w:b/>
          <w:bCs/>
          <w:lang w:val="fr-FR"/>
        </w:rPr>
        <w:t>obligatoire</w:t>
      </w:r>
      <w:r>
        <w:rPr>
          <w:lang w:val="fr-FR"/>
        </w:rPr>
        <w:t xml:space="preserve"> de rendre les documents ci-dessous</w:t>
      </w:r>
      <w:r w:rsidR="007F0E6E">
        <w:rPr>
          <w:lang w:val="fr-FR"/>
        </w:rPr>
        <w:t xml:space="preserve"> complétés et dans </w:t>
      </w:r>
      <w:r w:rsidR="007F0E6E" w:rsidRPr="008D223D">
        <w:rPr>
          <w:b/>
          <w:bCs/>
          <w:color w:val="000000" w:themeColor="text1"/>
          <w:lang w:val="fr-FR"/>
        </w:rPr>
        <w:t>le respect des délais</w:t>
      </w:r>
      <w:r w:rsidRPr="008D223D">
        <w:rPr>
          <w:color w:val="000000" w:themeColor="text1"/>
          <w:lang w:val="fr-FR"/>
        </w:rPr>
        <w:t> </w:t>
      </w:r>
      <w:r>
        <w:rPr>
          <w:lang w:val="fr-FR"/>
        </w:rPr>
        <w:t>:</w:t>
      </w:r>
    </w:p>
    <w:p w14:paraId="29F738EC" w14:textId="77777777" w:rsidR="00990C6B" w:rsidRDefault="00990C6B" w:rsidP="00CF4EA1">
      <w:pPr>
        <w:pStyle w:val="Paragraphedeliste"/>
        <w:numPr>
          <w:ilvl w:val="0"/>
          <w:numId w:val="13"/>
        </w:numPr>
        <w:jc w:val="both"/>
        <w:rPr>
          <w:lang w:val="fr-FR"/>
        </w:rPr>
      </w:pPr>
      <w:r>
        <w:rPr>
          <w:lang w:val="fr-FR"/>
        </w:rPr>
        <w:t xml:space="preserve">La présente convention </w:t>
      </w:r>
      <w:r w:rsidR="00CF4EA1">
        <w:rPr>
          <w:lang w:val="fr-FR"/>
        </w:rPr>
        <w:t xml:space="preserve">dûment </w:t>
      </w:r>
      <w:r>
        <w:rPr>
          <w:lang w:val="fr-FR"/>
        </w:rPr>
        <w:t>signée</w:t>
      </w:r>
    </w:p>
    <w:p w14:paraId="0C4F7B7F" w14:textId="77777777" w:rsidR="00990C6B" w:rsidRDefault="00990C6B" w:rsidP="00CF4EA1">
      <w:pPr>
        <w:pStyle w:val="Paragraphedeliste"/>
        <w:numPr>
          <w:ilvl w:val="0"/>
          <w:numId w:val="13"/>
        </w:numPr>
        <w:jc w:val="both"/>
        <w:rPr>
          <w:lang w:val="fr-FR"/>
        </w:rPr>
      </w:pPr>
      <w:r>
        <w:rPr>
          <w:lang w:val="fr-FR"/>
        </w:rPr>
        <w:t>La fiche de contact</w:t>
      </w:r>
    </w:p>
    <w:p w14:paraId="60416EBB" w14:textId="77777777" w:rsidR="00990C6B" w:rsidRDefault="00990C6B" w:rsidP="00CF4EA1">
      <w:pPr>
        <w:pStyle w:val="Paragraphedeliste"/>
        <w:numPr>
          <w:ilvl w:val="0"/>
          <w:numId w:val="13"/>
        </w:numPr>
        <w:jc w:val="both"/>
        <w:rPr>
          <w:lang w:val="fr-FR"/>
        </w:rPr>
      </w:pPr>
      <w:r>
        <w:rPr>
          <w:lang w:val="fr-FR"/>
        </w:rPr>
        <w:t>La fiche d’engagements</w:t>
      </w:r>
    </w:p>
    <w:p w14:paraId="4941F398" w14:textId="77777777" w:rsidR="00990C6B" w:rsidRDefault="00990C6B" w:rsidP="00CF4EA1">
      <w:pPr>
        <w:pStyle w:val="Paragraphedeliste"/>
        <w:numPr>
          <w:ilvl w:val="0"/>
          <w:numId w:val="13"/>
        </w:numPr>
        <w:jc w:val="both"/>
        <w:rPr>
          <w:lang w:val="fr-FR"/>
        </w:rPr>
      </w:pPr>
      <w:r>
        <w:rPr>
          <w:lang w:val="fr-FR"/>
        </w:rPr>
        <w:t>La charte d’utilisation du logo</w:t>
      </w:r>
    </w:p>
    <w:p w14:paraId="438B33D2" w14:textId="14FF50D4" w:rsidR="00FC14AC" w:rsidRDefault="00990C6B" w:rsidP="00CF4EA1">
      <w:pPr>
        <w:jc w:val="both"/>
        <w:rPr>
          <w:lang w:val="fr-FR"/>
        </w:rPr>
      </w:pPr>
      <w:r>
        <w:rPr>
          <w:lang w:val="fr-FR"/>
        </w:rPr>
        <w:t xml:space="preserve">La signature </w:t>
      </w:r>
      <w:r w:rsidR="00ED7CD8">
        <w:rPr>
          <w:lang w:val="fr-FR"/>
        </w:rPr>
        <w:t xml:space="preserve">de la convention </w:t>
      </w:r>
      <w:r>
        <w:rPr>
          <w:lang w:val="fr-FR"/>
        </w:rPr>
        <w:t>doit être apposée par une personne habilitée à représenter l’organisme ou institution.</w:t>
      </w:r>
      <w:bookmarkStart w:id="14" w:name="_Hlk27391776"/>
    </w:p>
    <w:p w14:paraId="4E4FC92C" w14:textId="77777777" w:rsidR="00990C6B" w:rsidRDefault="00CF4EA1" w:rsidP="00CF4EA1">
      <w:pPr>
        <w:pStyle w:val="Titre2"/>
        <w:jc w:val="both"/>
        <w:rPr>
          <w:lang w:val="fr-FR"/>
        </w:rPr>
      </w:pPr>
      <w:bookmarkStart w:id="15" w:name="_Toc27563305"/>
      <w:bookmarkEnd w:id="14"/>
      <w:r>
        <w:rPr>
          <w:lang w:val="fr-FR"/>
        </w:rPr>
        <w:t>E</w:t>
      </w:r>
      <w:r w:rsidR="00990C6B">
        <w:rPr>
          <w:lang w:val="fr-FR"/>
        </w:rPr>
        <w:t>xclusion</w:t>
      </w:r>
      <w:bookmarkEnd w:id="15"/>
    </w:p>
    <w:p w14:paraId="65E56B35" w14:textId="77777777" w:rsidR="00990C6B" w:rsidRDefault="007F0E6E" w:rsidP="00CF4EA1">
      <w:pPr>
        <w:jc w:val="both"/>
        <w:rPr>
          <w:lang w:val="fr-FR"/>
        </w:rPr>
      </w:pPr>
      <w:r>
        <w:rPr>
          <w:lang w:val="fr-FR"/>
        </w:rPr>
        <w:t>Dans le cadre de la présente convention, seront exclues les parties n’ayant pas remis les documents obligatoires dans les délais précisés.</w:t>
      </w:r>
    </w:p>
    <w:p w14:paraId="2D4EC25F" w14:textId="77777777" w:rsidR="00990C6B" w:rsidRDefault="00990C6B" w:rsidP="00CF4EA1">
      <w:pPr>
        <w:pStyle w:val="Titre2"/>
        <w:jc w:val="both"/>
        <w:rPr>
          <w:lang w:val="fr-FR"/>
        </w:rPr>
      </w:pPr>
      <w:bookmarkStart w:id="16" w:name="_Toc27563306"/>
      <w:r>
        <w:rPr>
          <w:lang w:val="fr-FR"/>
        </w:rPr>
        <w:t>Résiliation et retrait</w:t>
      </w:r>
      <w:bookmarkEnd w:id="16"/>
    </w:p>
    <w:p w14:paraId="4183827D" w14:textId="4923C9CE" w:rsidR="00990C6B" w:rsidRDefault="00990C6B" w:rsidP="00CF4EA1">
      <w:pPr>
        <w:jc w:val="both"/>
        <w:rPr>
          <w:lang w:val="fr-FR"/>
        </w:rPr>
      </w:pPr>
      <w:r>
        <w:rPr>
          <w:lang w:val="fr-FR"/>
        </w:rPr>
        <w:t xml:space="preserve">Toute partie </w:t>
      </w:r>
      <w:r w:rsidR="007F0E6E">
        <w:rPr>
          <w:lang w:val="fr-FR"/>
        </w:rPr>
        <w:t>souhaitant</w:t>
      </w:r>
      <w:r>
        <w:rPr>
          <w:lang w:val="fr-FR"/>
        </w:rPr>
        <w:t xml:space="preserve"> se retirer du Green Deal </w:t>
      </w:r>
      <w:r w:rsidR="007F0E6E">
        <w:rPr>
          <w:lang w:val="fr-FR"/>
        </w:rPr>
        <w:t>le notifie par voie postale ou électronique à la c</w:t>
      </w:r>
      <w:r w:rsidR="00ED7CD8">
        <w:rPr>
          <w:lang w:val="fr-FR"/>
        </w:rPr>
        <w:t>ellule Manger Demain</w:t>
      </w:r>
      <w:r w:rsidR="003D3E9E">
        <w:rPr>
          <w:lang w:val="fr-FR"/>
        </w:rPr>
        <w:t>. La notification entraînera la résiliation de la partie</w:t>
      </w:r>
      <w:r>
        <w:rPr>
          <w:lang w:val="fr-FR"/>
        </w:rPr>
        <w:t xml:space="preserve"> de la liste officielle des signataires</w:t>
      </w:r>
      <w:r w:rsidR="003D3E9E">
        <w:rPr>
          <w:lang w:val="fr-FR"/>
        </w:rPr>
        <w:t>,</w:t>
      </w:r>
      <w:r>
        <w:rPr>
          <w:lang w:val="fr-FR"/>
        </w:rPr>
        <w:t xml:space="preserve"> le retrait du site internet </w:t>
      </w:r>
      <w:r w:rsidR="003D3E9E">
        <w:rPr>
          <w:lang w:val="fr-FR"/>
        </w:rPr>
        <w:t>ainsi que</w:t>
      </w:r>
      <w:r>
        <w:rPr>
          <w:lang w:val="fr-FR"/>
        </w:rPr>
        <w:t xml:space="preserve"> des dispositifs d’échanges d’informations accessibles aux </w:t>
      </w:r>
      <w:r w:rsidR="003D3E9E">
        <w:rPr>
          <w:lang w:val="fr-FR"/>
        </w:rPr>
        <w:t>parties.</w:t>
      </w:r>
    </w:p>
    <w:p w14:paraId="6D31D64A" w14:textId="3DDAD7FF" w:rsidR="00990C6B" w:rsidRDefault="00990C6B" w:rsidP="00CF4EA1">
      <w:pPr>
        <w:jc w:val="both"/>
        <w:rPr>
          <w:lang w:val="fr-FR"/>
        </w:rPr>
      </w:pPr>
    </w:p>
    <w:p w14:paraId="2BF6CFC4" w14:textId="0156CC50" w:rsidR="00990C6B" w:rsidRDefault="003F7A55" w:rsidP="00CF4EA1">
      <w:pPr>
        <w:pStyle w:val="Titre1"/>
        <w:jc w:val="both"/>
        <w:rPr>
          <w:lang w:val="fr-FR"/>
        </w:rPr>
      </w:pPr>
      <w:bookmarkStart w:id="17" w:name="_Toc27563307"/>
      <w:r>
        <w:rPr>
          <w:lang w:val="fr-FR"/>
        </w:rPr>
        <w:lastRenderedPageBreak/>
        <w:t xml:space="preserve">Article </w:t>
      </w:r>
      <w:r w:rsidR="003F57AC">
        <w:rPr>
          <w:lang w:val="fr-FR"/>
        </w:rPr>
        <w:t>7</w:t>
      </w:r>
      <w:r>
        <w:rPr>
          <w:lang w:val="fr-FR"/>
        </w:rPr>
        <w:t xml:space="preserve">. </w:t>
      </w:r>
      <w:r w:rsidR="00990C6B">
        <w:rPr>
          <w:lang w:val="fr-FR"/>
        </w:rPr>
        <w:t>MODIFICATION</w:t>
      </w:r>
      <w:bookmarkEnd w:id="17"/>
    </w:p>
    <w:p w14:paraId="368D67D9" w14:textId="7887072B" w:rsidR="003D3E9E" w:rsidRDefault="003D3E9E" w:rsidP="00CF4EA1">
      <w:pPr>
        <w:jc w:val="both"/>
        <w:rPr>
          <w:lang w:val="fr-FR"/>
        </w:rPr>
      </w:pPr>
      <w:r>
        <w:rPr>
          <w:lang w:val="fr-FR"/>
        </w:rPr>
        <w:t xml:space="preserve">Toute demande de modification de la présente convention doit être notifiée </w:t>
      </w:r>
      <w:r w:rsidR="00ED7CD8">
        <w:rPr>
          <w:lang w:val="fr-FR"/>
        </w:rPr>
        <w:t>à l’autre partie</w:t>
      </w:r>
      <w:r>
        <w:rPr>
          <w:lang w:val="fr-FR"/>
        </w:rPr>
        <w:t xml:space="preserve">. </w:t>
      </w:r>
      <w:r w:rsidR="00CF4EA1">
        <w:rPr>
          <w:lang w:val="fr-FR"/>
        </w:rPr>
        <w:t>Celle-ci a</w:t>
      </w:r>
      <w:r>
        <w:rPr>
          <w:lang w:val="fr-FR"/>
        </w:rPr>
        <w:t xml:space="preserve"> 90 jours à compter de la notification de la demande de modification pour rendre un avis.</w:t>
      </w:r>
    </w:p>
    <w:p w14:paraId="69D5BAE8" w14:textId="77777777" w:rsidR="00990C6B" w:rsidRDefault="003D3E9E" w:rsidP="00CF4EA1">
      <w:pPr>
        <w:jc w:val="both"/>
        <w:rPr>
          <w:lang w:val="fr-FR"/>
        </w:rPr>
      </w:pPr>
      <w:r>
        <w:rPr>
          <w:lang w:val="fr-FR"/>
        </w:rPr>
        <w:t>La partie qui ne remet pas d’avis dans les 90 jours</w:t>
      </w:r>
      <w:r w:rsidR="007209A4">
        <w:rPr>
          <w:lang w:val="fr-FR"/>
        </w:rPr>
        <w:t xml:space="preserve"> est considérée comme ayant donné un avis favorable</w:t>
      </w:r>
      <w:r w:rsidR="00BF5A65">
        <w:rPr>
          <w:lang w:val="fr-FR"/>
        </w:rPr>
        <w:t>.</w:t>
      </w:r>
    </w:p>
    <w:p w14:paraId="477056A2" w14:textId="77777777" w:rsidR="003F7A55" w:rsidRDefault="003F7A55" w:rsidP="00990C6B">
      <w:pPr>
        <w:rPr>
          <w:lang w:val="fr-FR"/>
        </w:rPr>
        <w:sectPr w:rsidR="003F7A55" w:rsidSect="00A37486">
          <w:pgSz w:w="11906" w:h="16838"/>
          <w:pgMar w:top="1135" w:right="1417" w:bottom="1560" w:left="1417" w:header="708" w:footer="708" w:gutter="0"/>
          <w:cols w:space="708"/>
          <w:docGrid w:linePitch="360"/>
        </w:sectPr>
      </w:pPr>
    </w:p>
    <w:p w14:paraId="3BB86476" w14:textId="77777777" w:rsidR="003F7A55" w:rsidRDefault="003F7A55" w:rsidP="00CF4EA1">
      <w:pPr>
        <w:pStyle w:val="Titre1"/>
        <w:jc w:val="both"/>
        <w:rPr>
          <w:lang w:val="fr-FR"/>
        </w:rPr>
      </w:pPr>
      <w:bookmarkStart w:id="18" w:name="_Toc27563308"/>
      <w:r>
        <w:rPr>
          <w:lang w:val="fr-FR"/>
        </w:rPr>
        <w:lastRenderedPageBreak/>
        <w:t>SIGNATURE</w:t>
      </w:r>
      <w:bookmarkEnd w:id="18"/>
    </w:p>
    <w:p w14:paraId="2BF2D404" w14:textId="77777777" w:rsidR="00FA4CBB" w:rsidRPr="00FA4CBB" w:rsidRDefault="00FA4CBB" w:rsidP="00CF4EA1">
      <w:pPr>
        <w:jc w:val="both"/>
        <w:rPr>
          <w:lang w:val="fr-FR"/>
        </w:rPr>
      </w:pPr>
    </w:p>
    <w:p w14:paraId="1DBC6C6E" w14:textId="736F544A" w:rsidR="008D223D" w:rsidRDefault="00CF4EA1" w:rsidP="00CF4EA1">
      <w:pPr>
        <w:jc w:val="both"/>
        <w:rPr>
          <w:lang w:val="fr-FR"/>
        </w:rPr>
      </w:pPr>
      <w:r>
        <w:rPr>
          <w:lang w:val="fr-FR"/>
        </w:rPr>
        <w:t>En signant la</w:t>
      </w:r>
      <w:r w:rsidR="008D223D">
        <w:rPr>
          <w:lang w:val="fr-FR"/>
        </w:rPr>
        <w:t xml:space="preserve"> convention, les parties attestent avoir obtenu et pris connaissance du contenu du Green Deal – Cantines durables de cette convention.</w:t>
      </w:r>
    </w:p>
    <w:p w14:paraId="60987CAB" w14:textId="7774CD9E" w:rsidR="008D223D" w:rsidRDefault="008D223D" w:rsidP="00CF4EA1">
      <w:pPr>
        <w:jc w:val="both"/>
        <w:rPr>
          <w:lang w:val="fr-FR"/>
        </w:rPr>
      </w:pPr>
      <w:r>
        <w:rPr>
          <w:lang w:val="fr-FR"/>
        </w:rPr>
        <w:t>Fait à Namur, le …</w:t>
      </w:r>
      <w:r w:rsidR="00A37486">
        <w:rPr>
          <w:lang w:val="fr-FR"/>
        </w:rPr>
        <w:t>………………………….</w:t>
      </w:r>
      <w:r>
        <w:rPr>
          <w:lang w:val="fr-FR"/>
        </w:rPr>
        <w:t xml:space="preserve"> 2020</w:t>
      </w:r>
    </w:p>
    <w:p w14:paraId="54F39B9D" w14:textId="77777777" w:rsidR="008D223D" w:rsidRDefault="008D223D" w:rsidP="00CF4EA1">
      <w:pPr>
        <w:jc w:val="both"/>
        <w:rPr>
          <w:lang w:val="fr-FR"/>
        </w:rPr>
      </w:pPr>
    </w:p>
    <w:p w14:paraId="3B5DC82D" w14:textId="567E5E1B" w:rsidR="008D223D" w:rsidRDefault="008D223D" w:rsidP="00CF4EA1">
      <w:pPr>
        <w:jc w:val="both"/>
        <w:rPr>
          <w:lang w:val="fr-FR"/>
        </w:rPr>
      </w:pPr>
      <w:r>
        <w:rPr>
          <w:lang w:val="fr-FR"/>
        </w:rPr>
        <w:t>Pour l’Autorité politique wallonne, le Gouvernement wallon est représenté par la Ministre de l’environnement, Céline Tellier.</w:t>
      </w:r>
    </w:p>
    <w:p w14:paraId="49DEC5BA" w14:textId="77777777" w:rsidR="00A37486" w:rsidRPr="008D223D" w:rsidRDefault="00A37486" w:rsidP="00A37486">
      <w:pPr>
        <w:jc w:val="both"/>
        <w:rPr>
          <w:lang w:val="fr-FR"/>
        </w:rPr>
      </w:pPr>
      <w:r>
        <w:rPr>
          <w:lang w:val="fr-FR"/>
        </w:rPr>
        <w:t>SIGNATURE</w:t>
      </w:r>
    </w:p>
    <w:p w14:paraId="48ED122B" w14:textId="77777777" w:rsidR="00A37486" w:rsidRDefault="00A37486" w:rsidP="00CF4EA1">
      <w:pPr>
        <w:jc w:val="both"/>
        <w:rPr>
          <w:lang w:val="fr-FR"/>
        </w:rPr>
      </w:pPr>
    </w:p>
    <w:p w14:paraId="61C7C7B3" w14:textId="4845177C" w:rsidR="00A37486" w:rsidRDefault="00A37486" w:rsidP="00CF4EA1">
      <w:pPr>
        <w:jc w:val="both"/>
        <w:rPr>
          <w:lang w:val="fr-FR"/>
        </w:rPr>
      </w:pPr>
    </w:p>
    <w:p w14:paraId="1DA2DABF" w14:textId="77777777" w:rsidR="00A37486" w:rsidRDefault="00A37486" w:rsidP="00CF4EA1">
      <w:pPr>
        <w:jc w:val="both"/>
        <w:rPr>
          <w:lang w:val="fr-FR"/>
        </w:rPr>
      </w:pPr>
    </w:p>
    <w:p w14:paraId="17D529B6" w14:textId="77777777" w:rsidR="008D223D" w:rsidRDefault="008D223D" w:rsidP="00CF4EA1">
      <w:pPr>
        <w:jc w:val="both"/>
        <w:rPr>
          <w:lang w:val="fr-FR"/>
        </w:rPr>
      </w:pPr>
    </w:p>
    <w:p w14:paraId="15F34B5E" w14:textId="1BB3D0EC" w:rsidR="008D223D" w:rsidRDefault="008D223D" w:rsidP="00CF4EA1">
      <w:pPr>
        <w:jc w:val="both"/>
        <w:rPr>
          <w:lang w:val="fr-FR"/>
        </w:rPr>
      </w:pPr>
      <w:r>
        <w:rPr>
          <w:lang w:val="fr-FR"/>
        </w:rPr>
        <w:t>Pour l</w:t>
      </w:r>
      <w:r w:rsidR="00FA4CBB">
        <w:rPr>
          <w:lang w:val="fr-FR"/>
        </w:rPr>
        <w:t>e signataire</w:t>
      </w:r>
      <w:r>
        <w:rPr>
          <w:lang w:val="fr-FR"/>
        </w:rPr>
        <w:t xml:space="preserve">, l’organisme </w:t>
      </w:r>
      <w:r w:rsidR="00FA4CBB">
        <w:rPr>
          <w:lang w:val="fr-FR"/>
        </w:rPr>
        <w:t>(nom)</w:t>
      </w:r>
      <w:r>
        <w:rPr>
          <w:lang w:val="fr-FR"/>
        </w:rPr>
        <w:t>…………………………………………… en tant que (entourer la mention utile) CANTINE, FACILITATEUR, AUTORITE POLITIQUE, représenté par (prénom, NOM</w:t>
      </w:r>
      <w:proofErr w:type="gramStart"/>
      <w:r>
        <w:rPr>
          <w:lang w:val="fr-FR"/>
        </w:rPr>
        <w:t>),…</w:t>
      </w:r>
      <w:proofErr w:type="gramEnd"/>
      <w:r>
        <w:rPr>
          <w:lang w:val="fr-FR"/>
        </w:rPr>
        <w:t>…………………….., (fonction),…………………</w:t>
      </w:r>
      <w:r w:rsidR="00FA4CBB">
        <w:rPr>
          <w:lang w:val="fr-FR"/>
        </w:rPr>
        <w:t>…………</w:t>
      </w:r>
      <w:r>
        <w:rPr>
          <w:lang w:val="fr-FR"/>
        </w:rPr>
        <w:t>.</w:t>
      </w:r>
      <w:bookmarkStart w:id="19" w:name="_GoBack"/>
      <w:bookmarkEnd w:id="19"/>
    </w:p>
    <w:p w14:paraId="319EFFB5" w14:textId="77777777" w:rsidR="008D223D" w:rsidRPr="008D223D" w:rsidRDefault="008D223D" w:rsidP="00CF4EA1">
      <w:pPr>
        <w:jc w:val="both"/>
        <w:rPr>
          <w:lang w:val="fr-FR"/>
        </w:rPr>
      </w:pPr>
      <w:r>
        <w:rPr>
          <w:lang w:val="fr-FR"/>
        </w:rPr>
        <w:t>SIGNATURE</w:t>
      </w:r>
    </w:p>
    <w:sectPr w:rsidR="008D223D" w:rsidRPr="008D22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9D4C3" w14:textId="77777777" w:rsidR="00DB087D" w:rsidRDefault="00DB087D" w:rsidP="003F7A55">
      <w:pPr>
        <w:spacing w:after="0" w:line="240" w:lineRule="auto"/>
      </w:pPr>
      <w:r>
        <w:separator/>
      </w:r>
    </w:p>
  </w:endnote>
  <w:endnote w:type="continuationSeparator" w:id="0">
    <w:p w14:paraId="0D949433" w14:textId="77777777" w:rsidR="00DB087D" w:rsidRDefault="00DB087D" w:rsidP="003F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30A00" w14:textId="77777777" w:rsidR="00090D41" w:rsidRDefault="00090D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52440"/>
      <w:docPartObj>
        <w:docPartGallery w:val="Page Numbers (Bottom of Page)"/>
        <w:docPartUnique/>
      </w:docPartObj>
    </w:sdtPr>
    <w:sdtEndPr/>
    <w:sdtContent>
      <w:p w14:paraId="57DA2A04" w14:textId="77777777" w:rsidR="003F7A55" w:rsidRDefault="003F7A55" w:rsidP="003F7A55">
        <w:pPr>
          <w:pStyle w:val="Pieddepage"/>
          <w:jc w:val="right"/>
        </w:pPr>
      </w:p>
      <w:p w14:paraId="678AC40D" w14:textId="77777777" w:rsidR="003F7A55" w:rsidRPr="003F7A55" w:rsidRDefault="003F7A55" w:rsidP="003F7A55">
        <w:pPr>
          <w:pStyle w:val="Pieddepage"/>
          <w:rPr>
            <w:sz w:val="20"/>
            <w:szCs w:val="20"/>
          </w:rPr>
        </w:pPr>
        <w:r w:rsidRPr="003F7A55">
          <w:rPr>
            <w:sz w:val="20"/>
            <w:szCs w:val="20"/>
          </w:rPr>
          <w:t>Convention de transition écologique : Green Deal – Cantines durabl</w:t>
        </w:r>
        <w:r>
          <w:rPr>
            <w:sz w:val="20"/>
            <w:szCs w:val="20"/>
          </w:rPr>
          <w:t>es</w:t>
        </w:r>
        <w:r>
          <w:rPr>
            <w:sz w:val="20"/>
            <w:szCs w:val="20"/>
          </w:rPr>
          <w:tab/>
        </w:r>
        <w:r>
          <w:fldChar w:fldCharType="begin"/>
        </w:r>
        <w:r>
          <w:instrText>PAGE   \* MERGEFORMAT</w:instrText>
        </w:r>
        <w:r>
          <w:fldChar w:fldCharType="separate"/>
        </w:r>
        <w:r>
          <w:rPr>
            <w:lang w:val="fr-FR"/>
          </w:rPr>
          <w:t>2</w:t>
        </w:r>
        <w:r>
          <w:fldChar w:fldCharType="end"/>
        </w:r>
      </w:p>
    </w:sdtContent>
  </w:sdt>
  <w:p w14:paraId="51901671" w14:textId="77777777" w:rsidR="003F7A55" w:rsidRPr="003F7A55" w:rsidRDefault="003F7A55">
    <w:pPr>
      <w:pStyle w:val="Pieddepag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45C03" w14:textId="77777777" w:rsidR="00090D41" w:rsidRDefault="00090D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42A5" w14:textId="77777777" w:rsidR="00DB087D" w:rsidRDefault="00DB087D" w:rsidP="003F7A55">
      <w:pPr>
        <w:spacing w:after="0" w:line="240" w:lineRule="auto"/>
      </w:pPr>
      <w:r>
        <w:separator/>
      </w:r>
    </w:p>
  </w:footnote>
  <w:footnote w:type="continuationSeparator" w:id="0">
    <w:p w14:paraId="515B609D" w14:textId="77777777" w:rsidR="00DB087D" w:rsidRDefault="00DB087D" w:rsidP="003F7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DCDE2" w14:textId="77777777" w:rsidR="00090D41" w:rsidRDefault="00090D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A593" w14:textId="77777777" w:rsidR="00090D41" w:rsidRDefault="00090D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603" w14:textId="77777777" w:rsidR="00090D41" w:rsidRDefault="00090D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1D2"/>
    <w:multiLevelType w:val="hybridMultilevel"/>
    <w:tmpl w:val="84DED2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34360F3"/>
    <w:multiLevelType w:val="hybridMultilevel"/>
    <w:tmpl w:val="489633D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08EA3BAC"/>
    <w:multiLevelType w:val="hybridMultilevel"/>
    <w:tmpl w:val="CF0A662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0CE50E3"/>
    <w:multiLevelType w:val="hybridMultilevel"/>
    <w:tmpl w:val="D952A1DA"/>
    <w:lvl w:ilvl="0" w:tplc="080C0001">
      <w:start w:val="1"/>
      <w:numFmt w:val="bullet"/>
      <w:lvlText w:val=""/>
      <w:lvlJc w:val="left"/>
      <w:pPr>
        <w:ind w:left="2130" w:hanging="360"/>
      </w:pPr>
      <w:rPr>
        <w:rFonts w:ascii="Symbol" w:hAnsi="Symbol" w:hint="default"/>
      </w:rPr>
    </w:lvl>
    <w:lvl w:ilvl="1" w:tplc="080C0003" w:tentative="1">
      <w:start w:val="1"/>
      <w:numFmt w:val="bullet"/>
      <w:lvlText w:val="o"/>
      <w:lvlJc w:val="left"/>
      <w:pPr>
        <w:ind w:left="2850" w:hanging="360"/>
      </w:pPr>
      <w:rPr>
        <w:rFonts w:ascii="Courier New" w:hAnsi="Courier New" w:cs="Courier New" w:hint="default"/>
      </w:rPr>
    </w:lvl>
    <w:lvl w:ilvl="2" w:tplc="080C0005" w:tentative="1">
      <w:start w:val="1"/>
      <w:numFmt w:val="bullet"/>
      <w:lvlText w:val=""/>
      <w:lvlJc w:val="left"/>
      <w:pPr>
        <w:ind w:left="3570" w:hanging="360"/>
      </w:pPr>
      <w:rPr>
        <w:rFonts w:ascii="Wingdings" w:hAnsi="Wingdings" w:hint="default"/>
      </w:rPr>
    </w:lvl>
    <w:lvl w:ilvl="3" w:tplc="080C0001" w:tentative="1">
      <w:start w:val="1"/>
      <w:numFmt w:val="bullet"/>
      <w:lvlText w:val=""/>
      <w:lvlJc w:val="left"/>
      <w:pPr>
        <w:ind w:left="4290" w:hanging="360"/>
      </w:pPr>
      <w:rPr>
        <w:rFonts w:ascii="Symbol" w:hAnsi="Symbol" w:hint="default"/>
      </w:rPr>
    </w:lvl>
    <w:lvl w:ilvl="4" w:tplc="080C0003" w:tentative="1">
      <w:start w:val="1"/>
      <w:numFmt w:val="bullet"/>
      <w:lvlText w:val="o"/>
      <w:lvlJc w:val="left"/>
      <w:pPr>
        <w:ind w:left="5010" w:hanging="360"/>
      </w:pPr>
      <w:rPr>
        <w:rFonts w:ascii="Courier New" w:hAnsi="Courier New" w:cs="Courier New" w:hint="default"/>
      </w:rPr>
    </w:lvl>
    <w:lvl w:ilvl="5" w:tplc="080C0005" w:tentative="1">
      <w:start w:val="1"/>
      <w:numFmt w:val="bullet"/>
      <w:lvlText w:val=""/>
      <w:lvlJc w:val="left"/>
      <w:pPr>
        <w:ind w:left="5730" w:hanging="360"/>
      </w:pPr>
      <w:rPr>
        <w:rFonts w:ascii="Wingdings" w:hAnsi="Wingdings" w:hint="default"/>
      </w:rPr>
    </w:lvl>
    <w:lvl w:ilvl="6" w:tplc="080C0001" w:tentative="1">
      <w:start w:val="1"/>
      <w:numFmt w:val="bullet"/>
      <w:lvlText w:val=""/>
      <w:lvlJc w:val="left"/>
      <w:pPr>
        <w:ind w:left="6450" w:hanging="360"/>
      </w:pPr>
      <w:rPr>
        <w:rFonts w:ascii="Symbol" w:hAnsi="Symbol" w:hint="default"/>
      </w:rPr>
    </w:lvl>
    <w:lvl w:ilvl="7" w:tplc="080C0003" w:tentative="1">
      <w:start w:val="1"/>
      <w:numFmt w:val="bullet"/>
      <w:lvlText w:val="o"/>
      <w:lvlJc w:val="left"/>
      <w:pPr>
        <w:ind w:left="7170" w:hanging="360"/>
      </w:pPr>
      <w:rPr>
        <w:rFonts w:ascii="Courier New" w:hAnsi="Courier New" w:cs="Courier New" w:hint="default"/>
      </w:rPr>
    </w:lvl>
    <w:lvl w:ilvl="8" w:tplc="080C0005" w:tentative="1">
      <w:start w:val="1"/>
      <w:numFmt w:val="bullet"/>
      <w:lvlText w:val=""/>
      <w:lvlJc w:val="left"/>
      <w:pPr>
        <w:ind w:left="7890" w:hanging="360"/>
      </w:pPr>
      <w:rPr>
        <w:rFonts w:ascii="Wingdings" w:hAnsi="Wingdings" w:hint="default"/>
      </w:rPr>
    </w:lvl>
  </w:abstractNum>
  <w:abstractNum w:abstractNumId="4" w15:restartNumberingAfterBreak="0">
    <w:nsid w:val="28E87AD8"/>
    <w:multiLevelType w:val="hybridMultilevel"/>
    <w:tmpl w:val="8A4CFA6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3B562A8"/>
    <w:multiLevelType w:val="hybridMultilevel"/>
    <w:tmpl w:val="92D802C2"/>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 w15:restartNumberingAfterBreak="0">
    <w:nsid w:val="4ACD517F"/>
    <w:multiLevelType w:val="hybridMultilevel"/>
    <w:tmpl w:val="76C03F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22404F5"/>
    <w:multiLevelType w:val="hybridMultilevel"/>
    <w:tmpl w:val="5DD2DEB2"/>
    <w:lvl w:ilvl="0" w:tplc="B4FE166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A3A7CBB"/>
    <w:multiLevelType w:val="hybridMultilevel"/>
    <w:tmpl w:val="BA329FC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707E52D9"/>
    <w:multiLevelType w:val="hybridMultilevel"/>
    <w:tmpl w:val="3306B700"/>
    <w:lvl w:ilvl="0" w:tplc="080C0001">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0" w15:restartNumberingAfterBreak="0">
    <w:nsid w:val="73862682"/>
    <w:multiLevelType w:val="hybridMultilevel"/>
    <w:tmpl w:val="D41A95E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7707174E"/>
    <w:multiLevelType w:val="hybridMultilevel"/>
    <w:tmpl w:val="A0CAF31C"/>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7ADC2FB5"/>
    <w:multiLevelType w:val="hybridMultilevel"/>
    <w:tmpl w:val="D6CAB93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1"/>
  </w:num>
  <w:num w:numId="6">
    <w:abstractNumId w:val="6"/>
  </w:num>
  <w:num w:numId="7">
    <w:abstractNumId w:val="3"/>
  </w:num>
  <w:num w:numId="8">
    <w:abstractNumId w:val="8"/>
  </w:num>
  <w:num w:numId="9">
    <w:abstractNumId w:val="1"/>
  </w:num>
  <w:num w:numId="10">
    <w:abstractNumId w:val="10"/>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F1"/>
    <w:rsid w:val="00023496"/>
    <w:rsid w:val="00090D41"/>
    <w:rsid w:val="00103598"/>
    <w:rsid w:val="001228B6"/>
    <w:rsid w:val="00250215"/>
    <w:rsid w:val="00276EA8"/>
    <w:rsid w:val="002844C8"/>
    <w:rsid w:val="002F495E"/>
    <w:rsid w:val="00352352"/>
    <w:rsid w:val="0039688C"/>
    <w:rsid w:val="003D3E9E"/>
    <w:rsid w:val="003D41BD"/>
    <w:rsid w:val="003F57AC"/>
    <w:rsid w:val="003F7A55"/>
    <w:rsid w:val="00451C43"/>
    <w:rsid w:val="004E6906"/>
    <w:rsid w:val="005A6E9F"/>
    <w:rsid w:val="005E31CA"/>
    <w:rsid w:val="006C037B"/>
    <w:rsid w:val="006C0E81"/>
    <w:rsid w:val="007209A4"/>
    <w:rsid w:val="007D6E87"/>
    <w:rsid w:val="007F0E6E"/>
    <w:rsid w:val="00846274"/>
    <w:rsid w:val="008B15AA"/>
    <w:rsid w:val="008D223D"/>
    <w:rsid w:val="00977BEC"/>
    <w:rsid w:val="00990C6B"/>
    <w:rsid w:val="009C211A"/>
    <w:rsid w:val="00A03E4B"/>
    <w:rsid w:val="00A26465"/>
    <w:rsid w:val="00A37486"/>
    <w:rsid w:val="00A55D2D"/>
    <w:rsid w:val="00A63C4D"/>
    <w:rsid w:val="00AA032F"/>
    <w:rsid w:val="00B1569B"/>
    <w:rsid w:val="00BA4599"/>
    <w:rsid w:val="00BF5A65"/>
    <w:rsid w:val="00C74EF7"/>
    <w:rsid w:val="00C759F2"/>
    <w:rsid w:val="00CA4DFC"/>
    <w:rsid w:val="00CF4EA1"/>
    <w:rsid w:val="00DB087D"/>
    <w:rsid w:val="00DF3D4E"/>
    <w:rsid w:val="00E65D62"/>
    <w:rsid w:val="00E86FF1"/>
    <w:rsid w:val="00ED7CD8"/>
    <w:rsid w:val="00FA4CBB"/>
    <w:rsid w:val="00FC14AC"/>
    <w:rsid w:val="00FE6038"/>
    <w:rsid w:val="00FF75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955E1"/>
  <w15:chartTrackingRefBased/>
  <w15:docId w15:val="{E1546059-CB40-4AAC-AD09-5E740F23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7A55"/>
    <w:pPr>
      <w:keepNext/>
      <w:keepLines/>
      <w:spacing w:before="240" w:after="0"/>
      <w:outlineLvl w:val="0"/>
    </w:pPr>
    <w:rPr>
      <w:rFonts w:asciiTheme="majorHAnsi" w:eastAsiaTheme="majorEastAsia" w:hAnsiTheme="majorHAnsi" w:cstheme="majorBidi"/>
      <w:b/>
      <w:color w:val="33AE9A"/>
      <w:sz w:val="32"/>
      <w:szCs w:val="32"/>
    </w:rPr>
  </w:style>
  <w:style w:type="paragraph" w:styleId="Titre2">
    <w:name w:val="heading 2"/>
    <w:basedOn w:val="Normal"/>
    <w:next w:val="Normal"/>
    <w:link w:val="Titre2Car"/>
    <w:uiPriority w:val="9"/>
    <w:unhideWhenUsed/>
    <w:qFormat/>
    <w:rsid w:val="003F7A55"/>
    <w:pPr>
      <w:keepNext/>
      <w:keepLines/>
      <w:spacing w:before="40" w:after="0"/>
      <w:outlineLvl w:val="1"/>
    </w:pPr>
    <w:rPr>
      <w:rFonts w:asciiTheme="majorHAnsi" w:eastAsiaTheme="majorEastAsia" w:hAnsiTheme="majorHAnsi" w:cstheme="majorBidi"/>
      <w:b/>
      <w:color w:val="E71C5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C43"/>
    <w:pPr>
      <w:ind w:left="720"/>
      <w:contextualSpacing/>
    </w:pPr>
  </w:style>
  <w:style w:type="character" w:styleId="Lienhypertexte">
    <w:name w:val="Hyperlink"/>
    <w:basedOn w:val="Policepardfaut"/>
    <w:uiPriority w:val="99"/>
    <w:unhideWhenUsed/>
    <w:rsid w:val="00A26465"/>
    <w:rPr>
      <w:color w:val="0563C1" w:themeColor="hyperlink"/>
      <w:u w:val="single"/>
    </w:rPr>
  </w:style>
  <w:style w:type="character" w:styleId="Mentionnonrsolue">
    <w:name w:val="Unresolved Mention"/>
    <w:basedOn w:val="Policepardfaut"/>
    <w:uiPriority w:val="99"/>
    <w:semiHidden/>
    <w:unhideWhenUsed/>
    <w:rsid w:val="00A26465"/>
    <w:rPr>
      <w:color w:val="605E5C"/>
      <w:shd w:val="clear" w:color="auto" w:fill="E1DFDD"/>
    </w:rPr>
  </w:style>
  <w:style w:type="paragraph" w:styleId="En-tte">
    <w:name w:val="header"/>
    <w:basedOn w:val="Normal"/>
    <w:link w:val="En-tteCar"/>
    <w:uiPriority w:val="99"/>
    <w:unhideWhenUsed/>
    <w:rsid w:val="003F7A55"/>
    <w:pPr>
      <w:tabs>
        <w:tab w:val="center" w:pos="4536"/>
        <w:tab w:val="right" w:pos="9072"/>
      </w:tabs>
      <w:spacing w:after="0" w:line="240" w:lineRule="auto"/>
    </w:pPr>
  </w:style>
  <w:style w:type="character" w:customStyle="1" w:styleId="En-tteCar">
    <w:name w:val="En-tête Car"/>
    <w:basedOn w:val="Policepardfaut"/>
    <w:link w:val="En-tte"/>
    <w:uiPriority w:val="99"/>
    <w:rsid w:val="003F7A55"/>
  </w:style>
  <w:style w:type="paragraph" w:styleId="Pieddepage">
    <w:name w:val="footer"/>
    <w:basedOn w:val="Normal"/>
    <w:link w:val="PieddepageCar"/>
    <w:uiPriority w:val="99"/>
    <w:unhideWhenUsed/>
    <w:rsid w:val="003F7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7A55"/>
  </w:style>
  <w:style w:type="character" w:customStyle="1" w:styleId="Titre1Car">
    <w:name w:val="Titre 1 Car"/>
    <w:basedOn w:val="Policepardfaut"/>
    <w:link w:val="Titre1"/>
    <w:uiPriority w:val="9"/>
    <w:rsid w:val="003F7A55"/>
    <w:rPr>
      <w:rFonts w:asciiTheme="majorHAnsi" w:eastAsiaTheme="majorEastAsia" w:hAnsiTheme="majorHAnsi" w:cstheme="majorBidi"/>
      <w:b/>
      <w:color w:val="33AE9A"/>
      <w:sz w:val="32"/>
      <w:szCs w:val="32"/>
    </w:rPr>
  </w:style>
  <w:style w:type="paragraph" w:styleId="En-ttedetabledesmatires">
    <w:name w:val="TOC Heading"/>
    <w:basedOn w:val="Titre1"/>
    <w:next w:val="Normal"/>
    <w:uiPriority w:val="39"/>
    <w:unhideWhenUsed/>
    <w:qFormat/>
    <w:rsid w:val="003F7A55"/>
    <w:pPr>
      <w:outlineLvl w:val="9"/>
    </w:pPr>
    <w:rPr>
      <w:lang w:eastAsia="fr-BE"/>
    </w:rPr>
  </w:style>
  <w:style w:type="character" w:customStyle="1" w:styleId="Titre2Car">
    <w:name w:val="Titre 2 Car"/>
    <w:basedOn w:val="Policepardfaut"/>
    <w:link w:val="Titre2"/>
    <w:uiPriority w:val="9"/>
    <w:rsid w:val="003F7A55"/>
    <w:rPr>
      <w:rFonts w:asciiTheme="majorHAnsi" w:eastAsiaTheme="majorEastAsia" w:hAnsiTheme="majorHAnsi" w:cstheme="majorBidi"/>
      <w:b/>
      <w:color w:val="E71C53"/>
      <w:sz w:val="26"/>
      <w:szCs w:val="26"/>
    </w:rPr>
  </w:style>
  <w:style w:type="paragraph" w:styleId="TM1">
    <w:name w:val="toc 1"/>
    <w:basedOn w:val="Normal"/>
    <w:next w:val="Normal"/>
    <w:autoRedefine/>
    <w:uiPriority w:val="39"/>
    <w:unhideWhenUsed/>
    <w:rsid w:val="003F7A55"/>
    <w:pPr>
      <w:spacing w:after="100"/>
    </w:pPr>
  </w:style>
  <w:style w:type="paragraph" w:styleId="TM2">
    <w:name w:val="toc 2"/>
    <w:basedOn w:val="Normal"/>
    <w:next w:val="Normal"/>
    <w:autoRedefine/>
    <w:uiPriority w:val="39"/>
    <w:unhideWhenUsed/>
    <w:rsid w:val="00FA4CBB"/>
    <w:pPr>
      <w:spacing w:after="100"/>
      <w:ind w:left="220"/>
    </w:pPr>
  </w:style>
  <w:style w:type="paragraph" w:styleId="Textedebulles">
    <w:name w:val="Balloon Text"/>
    <w:basedOn w:val="Normal"/>
    <w:link w:val="TextedebullesCar"/>
    <w:uiPriority w:val="99"/>
    <w:semiHidden/>
    <w:unhideWhenUsed/>
    <w:rsid w:val="0002349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496"/>
    <w:rPr>
      <w:rFonts w:ascii="Segoe UI" w:hAnsi="Segoe UI" w:cs="Segoe UI"/>
      <w:sz w:val="18"/>
      <w:szCs w:val="18"/>
    </w:rPr>
  </w:style>
  <w:style w:type="character" w:styleId="Marquedecommentaire">
    <w:name w:val="annotation reference"/>
    <w:basedOn w:val="Policepardfaut"/>
    <w:uiPriority w:val="99"/>
    <w:semiHidden/>
    <w:unhideWhenUsed/>
    <w:rsid w:val="00FE6038"/>
    <w:rPr>
      <w:sz w:val="16"/>
      <w:szCs w:val="16"/>
    </w:rPr>
  </w:style>
  <w:style w:type="paragraph" w:styleId="Commentaire">
    <w:name w:val="annotation text"/>
    <w:basedOn w:val="Normal"/>
    <w:link w:val="CommentaireCar"/>
    <w:uiPriority w:val="99"/>
    <w:semiHidden/>
    <w:unhideWhenUsed/>
    <w:rsid w:val="00FE6038"/>
    <w:pPr>
      <w:spacing w:line="240" w:lineRule="auto"/>
    </w:pPr>
    <w:rPr>
      <w:sz w:val="20"/>
      <w:szCs w:val="20"/>
    </w:rPr>
  </w:style>
  <w:style w:type="character" w:customStyle="1" w:styleId="CommentaireCar">
    <w:name w:val="Commentaire Car"/>
    <w:basedOn w:val="Policepardfaut"/>
    <w:link w:val="Commentaire"/>
    <w:uiPriority w:val="99"/>
    <w:semiHidden/>
    <w:rsid w:val="00FE6038"/>
    <w:rPr>
      <w:sz w:val="20"/>
      <w:szCs w:val="20"/>
    </w:rPr>
  </w:style>
  <w:style w:type="paragraph" w:styleId="Objetducommentaire">
    <w:name w:val="annotation subject"/>
    <w:basedOn w:val="Commentaire"/>
    <w:next w:val="Commentaire"/>
    <w:link w:val="ObjetducommentaireCar"/>
    <w:uiPriority w:val="99"/>
    <w:semiHidden/>
    <w:unhideWhenUsed/>
    <w:rsid w:val="00FE6038"/>
    <w:rPr>
      <w:b/>
      <w:bCs/>
    </w:rPr>
  </w:style>
  <w:style w:type="character" w:customStyle="1" w:styleId="ObjetducommentaireCar">
    <w:name w:val="Objet du commentaire Car"/>
    <w:basedOn w:val="CommentaireCar"/>
    <w:link w:val="Objetducommentaire"/>
    <w:uiPriority w:val="99"/>
    <w:semiHidden/>
    <w:rsid w:val="00FE6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eendealcantin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FB179-CDEF-4D3C-9D44-D656C2CB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1854</Words>
  <Characters>10202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Rioda</dc:creator>
  <cp:keywords/>
  <dc:description/>
  <cp:lastModifiedBy>Emilie Rioda</cp:lastModifiedBy>
  <cp:revision>11</cp:revision>
  <cp:lastPrinted>2020-02-04T13:15:00Z</cp:lastPrinted>
  <dcterms:created xsi:type="dcterms:W3CDTF">2019-12-16T11:31:00Z</dcterms:created>
  <dcterms:modified xsi:type="dcterms:W3CDTF">2020-02-04T14:09:00Z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gilles.bertrand@spw.wallonie.be</vt:lpwstr>
  </property>
  <property fmtid="{D5CDD505-2E9C-101B-9397-08002B2CF9AE}" pid="5" name="MSIP_Label_e72a09c5-6e26-4737-a926-47ef1ab198ae_SetDate">
    <vt:lpwstr>2019-12-13T16:06:38.3739023Z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ddb191fd-0cc8-4db7-95a2-718445afb652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